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F7" w:rsidRPr="007852FE" w:rsidRDefault="002654F7" w:rsidP="002654F7">
      <w:pPr>
        <w:jc w:val="center"/>
        <w:rPr>
          <w:rFonts w:ascii="Calibri" w:hAnsi="Calibri" w:cs="Arial"/>
          <w:b/>
          <w:sz w:val="24"/>
          <w:szCs w:val="24"/>
        </w:rPr>
      </w:pPr>
      <w:r w:rsidRPr="007852FE">
        <w:rPr>
          <w:rFonts w:ascii="Calibri" w:hAnsi="Calibri" w:cs="Arial"/>
          <w:b/>
          <w:sz w:val="24"/>
          <w:szCs w:val="24"/>
        </w:rPr>
        <w:t>Edital ICB.ATAC.</w:t>
      </w:r>
      <w:r w:rsidR="00D144B3">
        <w:rPr>
          <w:rFonts w:ascii="Calibri" w:hAnsi="Calibri" w:cs="Arial"/>
          <w:b/>
          <w:sz w:val="24"/>
          <w:szCs w:val="24"/>
        </w:rPr>
        <w:t>05</w:t>
      </w:r>
      <w:r w:rsidRPr="007852FE">
        <w:rPr>
          <w:rFonts w:ascii="Calibri" w:hAnsi="Calibri" w:cs="Arial"/>
          <w:b/>
          <w:sz w:val="24"/>
          <w:szCs w:val="24"/>
        </w:rPr>
        <w:t>/201</w:t>
      </w:r>
      <w:r>
        <w:rPr>
          <w:rFonts w:ascii="Calibri" w:hAnsi="Calibri" w:cs="Arial"/>
          <w:b/>
          <w:sz w:val="24"/>
          <w:szCs w:val="24"/>
        </w:rPr>
        <w:t>7</w:t>
      </w:r>
    </w:p>
    <w:p w:rsidR="002654F7" w:rsidRPr="00917617" w:rsidRDefault="002654F7" w:rsidP="002654F7">
      <w:pPr>
        <w:jc w:val="both"/>
        <w:rPr>
          <w:rFonts w:ascii="Calibri" w:hAnsi="Calibri" w:cs="Arial"/>
          <w:sz w:val="24"/>
          <w:szCs w:val="24"/>
        </w:rPr>
      </w:pPr>
    </w:p>
    <w:p w:rsidR="002654F7" w:rsidRDefault="002654F7" w:rsidP="002654F7">
      <w:pPr>
        <w:pStyle w:val="Corpodetexto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>ABERTURA DE INSCRIÇÕES AO CONCURSO PÚBLICO DE TÍTULOS E PROVAS VISANDO O PROVIMENTO DE 01 (UM) CARGO DE PROFESSOR DOUTOR, EM RDIDP, NO DEPARTAMENTO DE FARMACOLOGIA DO INSTITUTO DE CIÊNCIAS BIOMÉDICAS DA UNIVERSIDADE DE SÃO PAULO</w:t>
      </w:r>
    </w:p>
    <w:p w:rsidR="005C7AAD" w:rsidRDefault="005C7AAD" w:rsidP="005C7AAD">
      <w:pPr>
        <w:pStyle w:val="NormalWeb"/>
        <w:jc w:val="center"/>
        <w:rPr>
          <w:rFonts w:eastAsia="Arial Unicode MS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Publicado no Diário Oficial do Estado, dia </w:t>
      </w:r>
      <w:r>
        <w:rPr>
          <w:b/>
          <w:bCs/>
          <w:i/>
          <w:iCs/>
          <w:color w:val="FF0000"/>
        </w:rPr>
        <w:t>26</w:t>
      </w:r>
      <w:r>
        <w:rPr>
          <w:b/>
          <w:bCs/>
          <w:i/>
          <w:iCs/>
          <w:color w:val="FF0000"/>
        </w:rPr>
        <w:t>/0</w:t>
      </w:r>
      <w:r>
        <w:rPr>
          <w:b/>
          <w:bCs/>
          <w:i/>
          <w:iCs/>
          <w:color w:val="FF0000"/>
        </w:rPr>
        <w:t>4</w:t>
      </w:r>
      <w:r>
        <w:rPr>
          <w:b/>
          <w:bCs/>
          <w:i/>
          <w:iCs/>
          <w:color w:val="FF0000"/>
        </w:rPr>
        <w:t>/</w:t>
      </w:r>
      <w:proofErr w:type="gramStart"/>
      <w:r>
        <w:rPr>
          <w:b/>
          <w:bCs/>
          <w:i/>
          <w:iCs/>
          <w:color w:val="FF0000"/>
        </w:rPr>
        <w:t>201</w:t>
      </w:r>
      <w:r>
        <w:rPr>
          <w:b/>
          <w:bCs/>
          <w:i/>
          <w:iCs/>
          <w:color w:val="FF0000"/>
        </w:rPr>
        <w:t>7</w:t>
      </w:r>
      <w:r>
        <w:rPr>
          <w:b/>
          <w:bCs/>
          <w:i/>
          <w:iCs/>
          <w:color w:val="FF0000"/>
        </w:rPr>
        <w:t xml:space="preserve">  -</w:t>
      </w:r>
      <w:proofErr w:type="gramEnd"/>
      <w:r>
        <w:rPr>
          <w:b/>
          <w:bCs/>
          <w:i/>
          <w:iCs/>
          <w:color w:val="FF0000"/>
        </w:rPr>
        <w:t xml:space="preserve"> Seção I, Pág. 1</w:t>
      </w:r>
      <w:r>
        <w:rPr>
          <w:b/>
          <w:bCs/>
          <w:i/>
          <w:iCs/>
          <w:color w:val="FF0000"/>
        </w:rPr>
        <w:t>74</w:t>
      </w:r>
      <w:r>
        <w:rPr>
          <w:b/>
          <w:bCs/>
          <w:i/>
          <w:iCs/>
          <w:color w:val="FF0000"/>
        </w:rPr>
        <w:t xml:space="preserve"> e 1</w:t>
      </w:r>
      <w:r>
        <w:rPr>
          <w:b/>
          <w:bCs/>
          <w:i/>
          <w:iCs/>
          <w:color w:val="FF0000"/>
        </w:rPr>
        <w:t>7</w:t>
      </w:r>
      <w:r>
        <w:rPr>
          <w:b/>
          <w:bCs/>
          <w:i/>
          <w:iCs/>
          <w:color w:val="FF0000"/>
        </w:rPr>
        <w:t>5</w:t>
      </w:r>
    </w:p>
    <w:p w:rsidR="005C7AAD" w:rsidRDefault="005C7AAD" w:rsidP="005C7AAD">
      <w:pPr>
        <w:jc w:val="center"/>
        <w:rPr>
          <w:rFonts w:ascii="Calibri" w:eastAsia="Times New Roman" w:hAnsi="Calibri" w:cs="Arial"/>
        </w:rPr>
      </w:pPr>
      <w:r>
        <w:rPr>
          <w:b/>
          <w:bCs/>
          <w:i/>
          <w:iCs/>
          <w:color w:val="FF0000"/>
        </w:rPr>
        <w:t>Data de Encerramento das inscrições, 2</w:t>
      </w:r>
      <w:r>
        <w:rPr>
          <w:b/>
          <w:bCs/>
          <w:i/>
          <w:iCs/>
          <w:color w:val="FF0000"/>
        </w:rPr>
        <w:t>4</w:t>
      </w:r>
      <w:r>
        <w:rPr>
          <w:b/>
          <w:bCs/>
          <w:i/>
          <w:iCs/>
          <w:color w:val="FF0000"/>
        </w:rPr>
        <w:t xml:space="preserve"> de </w:t>
      </w:r>
      <w:r>
        <w:rPr>
          <w:b/>
          <w:bCs/>
          <w:i/>
          <w:iCs/>
          <w:color w:val="FF0000"/>
        </w:rPr>
        <w:t xml:space="preserve">julho </w:t>
      </w:r>
      <w:bookmarkStart w:id="0" w:name="_GoBack"/>
      <w:bookmarkEnd w:id="0"/>
      <w:r>
        <w:rPr>
          <w:b/>
          <w:bCs/>
          <w:i/>
          <w:iCs/>
          <w:color w:val="FF0000"/>
        </w:rPr>
        <w:t>de 2017</w:t>
      </w:r>
    </w:p>
    <w:p w:rsidR="00DA2F45" w:rsidRDefault="00C56AA4" w:rsidP="00276249">
      <w:pPr>
        <w:jc w:val="both"/>
      </w:pPr>
      <w:r w:rsidRPr="008239AD">
        <w:rPr>
          <w:rFonts w:ascii="Calibri" w:hAnsi="Calibri" w:cs="Arial"/>
          <w:sz w:val="24"/>
          <w:szCs w:val="24"/>
        </w:rPr>
        <w:t>O Diretor do Instituto de Ciências Biomédicas da Universidade de São Paulo, Cidade Universitária “</w:t>
      </w:r>
      <w:r w:rsidRPr="008239AD">
        <w:rPr>
          <w:rFonts w:ascii="Calibri" w:hAnsi="Calibri" w:cs="Arial"/>
          <w:i/>
          <w:sz w:val="24"/>
          <w:szCs w:val="24"/>
        </w:rPr>
        <w:t>Armando de Salles de Oliveira</w:t>
      </w:r>
      <w:r w:rsidRPr="008239AD">
        <w:rPr>
          <w:rFonts w:ascii="Calibri" w:hAnsi="Calibri" w:cs="Arial"/>
          <w:sz w:val="24"/>
          <w:szCs w:val="24"/>
        </w:rPr>
        <w:t>”, Av. Prof. Lineu Prestes, 2.415</w:t>
      </w:r>
      <w:r>
        <w:rPr>
          <w:rFonts w:ascii="Calibri" w:hAnsi="Calibri" w:cs="Arial"/>
          <w:sz w:val="24"/>
          <w:szCs w:val="24"/>
        </w:rPr>
        <w:t xml:space="preserve">, </w:t>
      </w:r>
      <w:r w:rsidR="00E0039A" w:rsidRPr="004A32F5">
        <w:t>torna público a todos os interessados que, de acordo com o decidido pela Congregação em</w:t>
      </w:r>
      <w:r>
        <w:t xml:space="preserve"> sua 384</w:t>
      </w:r>
      <w:r>
        <w:rPr>
          <w:rFonts w:ascii="Calibri" w:hAnsi="Calibri" w:cs="Arial"/>
          <w:sz w:val="24"/>
          <w:szCs w:val="24"/>
          <w:vertAlign w:val="superscript"/>
        </w:rPr>
        <w:t>a</w:t>
      </w:r>
      <w:r w:rsidR="00E0039A" w:rsidRPr="004A32F5">
        <w:t xml:space="preserve"> sessão ordinária</w:t>
      </w:r>
      <w:r>
        <w:t xml:space="preserve">, </w:t>
      </w:r>
      <w:r w:rsidR="00E0039A" w:rsidRPr="004A32F5">
        <w:t xml:space="preserve">realizada em </w:t>
      </w:r>
      <w:r w:rsidR="00774982">
        <w:t>29</w:t>
      </w:r>
      <w:r w:rsidR="00E0039A" w:rsidRPr="004A32F5">
        <w:t>/</w:t>
      </w:r>
      <w:r w:rsidR="00774982">
        <w:t>03</w:t>
      </w:r>
      <w:r w:rsidR="00E0039A" w:rsidRPr="004A32F5">
        <w:t>/</w:t>
      </w:r>
      <w:r w:rsidR="00774982">
        <w:t>2017</w:t>
      </w:r>
      <w:r w:rsidR="00E0039A" w:rsidRPr="004A32F5">
        <w:t xml:space="preserve">, estarão abertas, pelo prazo de </w:t>
      </w:r>
      <w:r w:rsidR="00774982" w:rsidRPr="00917617">
        <w:rPr>
          <w:rFonts w:ascii="Calibri" w:hAnsi="Calibri" w:cs="Arial"/>
          <w:sz w:val="24"/>
          <w:szCs w:val="24"/>
        </w:rPr>
        <w:t>90 (noventa) dias</w:t>
      </w:r>
      <w:r w:rsidR="0088554F" w:rsidRPr="004A32F5">
        <w:t>,</w:t>
      </w:r>
      <w:r w:rsidR="00774982">
        <w:t xml:space="preserve"> a </w:t>
      </w:r>
      <w:r w:rsidR="00E0039A" w:rsidRPr="004A32F5">
        <w:t>contar da</w:t>
      </w:r>
      <w:r>
        <w:t xml:space="preserve"> </w:t>
      </w:r>
      <w:r w:rsidR="00E0039A" w:rsidRPr="004A32F5">
        <w:t>publicação deste edital,</w:t>
      </w:r>
      <w:r w:rsidR="00424A97">
        <w:t xml:space="preserve">  2</w:t>
      </w:r>
      <w:r w:rsidR="00D94ACA">
        <w:t>6</w:t>
      </w:r>
      <w:r w:rsidR="00424A97">
        <w:t xml:space="preserve"> de abril de 2017 e término às 16horas (horário de Brasília) do dia 2</w:t>
      </w:r>
      <w:r w:rsidR="00D94ACA">
        <w:t>4</w:t>
      </w:r>
      <w:r w:rsidR="00424A97">
        <w:t xml:space="preserve"> de julho de 2017</w:t>
      </w:r>
      <w:r w:rsidR="00D144B3">
        <w:t xml:space="preserve">, </w:t>
      </w:r>
      <w:r w:rsidR="00E0039A" w:rsidRPr="004A32F5">
        <w:t>as inscrições ao concurso público de títulos e provas para</w:t>
      </w:r>
      <w:r w:rsidR="0088554F" w:rsidRPr="004A32F5">
        <w:t xml:space="preserve"> </w:t>
      </w:r>
      <w:r w:rsidR="00E0039A" w:rsidRPr="004A32F5">
        <w:t>provimento de</w:t>
      </w:r>
      <w:r w:rsidR="00774982">
        <w:t xml:space="preserve"> 01 </w:t>
      </w:r>
      <w:r w:rsidR="0088554F" w:rsidRPr="004A32F5">
        <w:t>(</w:t>
      </w:r>
      <w:r w:rsidR="00774982">
        <w:t>um</w:t>
      </w:r>
      <w:r w:rsidR="0088554F" w:rsidRPr="004A32F5">
        <w:t xml:space="preserve">) </w:t>
      </w:r>
      <w:r w:rsidR="00E0039A" w:rsidRPr="004A32F5">
        <w:t>cargo</w:t>
      </w:r>
      <w:r w:rsidR="00774982">
        <w:t xml:space="preserve"> </w:t>
      </w:r>
      <w:r w:rsidR="00E0039A" w:rsidRPr="004A32F5">
        <w:t>de Professor Doutor, referência MS-3</w:t>
      </w:r>
      <w:r w:rsidR="008D4168">
        <w:t>.1</w:t>
      </w:r>
      <w:r w:rsidR="00E0039A" w:rsidRPr="004A32F5">
        <w:t xml:space="preserve">, </w:t>
      </w:r>
      <w:r w:rsidR="0088554F" w:rsidRPr="004A32F5">
        <w:t>em R</w:t>
      </w:r>
      <w:r w:rsidR="0043559F" w:rsidRPr="004A32F5">
        <w:t>egime</w:t>
      </w:r>
      <w:r w:rsidR="00C630F4" w:rsidRPr="004A32F5">
        <w:t xml:space="preserve"> de</w:t>
      </w:r>
      <w:r w:rsidR="0043559F" w:rsidRPr="004A32F5">
        <w:t xml:space="preserve"> </w:t>
      </w:r>
      <w:r w:rsidR="00774982">
        <w:t>RDIDP</w:t>
      </w:r>
      <w:r w:rsidR="0088554F" w:rsidRPr="004A32F5">
        <w:t xml:space="preserve">, </w:t>
      </w:r>
      <w:r w:rsidR="00E0039A" w:rsidRPr="004A32F5">
        <w:t>claro</w:t>
      </w:r>
      <w:r w:rsidR="0088554F" w:rsidRPr="004A32F5">
        <w:t>/</w:t>
      </w:r>
      <w:r w:rsidR="00E0039A" w:rsidRPr="004A32F5">
        <w:t xml:space="preserve">cargo </w:t>
      </w:r>
      <w:r w:rsidR="0088554F" w:rsidRPr="004A32F5">
        <w:t xml:space="preserve"> nº</w:t>
      </w:r>
      <w:r w:rsidR="00774982">
        <w:t xml:space="preserve"> 123</w:t>
      </w:r>
      <w:r w:rsidR="003660F2">
        <w:t>3882</w:t>
      </w:r>
      <w:r w:rsidR="00E0039A" w:rsidRPr="004A32F5">
        <w:t xml:space="preserve">, com </w:t>
      </w:r>
      <w:r w:rsidR="0088554F" w:rsidRPr="004A32F5">
        <w:t xml:space="preserve">o </w:t>
      </w:r>
      <w:r w:rsidR="00E0039A" w:rsidRPr="004A32F5">
        <w:t xml:space="preserve">salário de </w:t>
      </w:r>
      <w:r w:rsidR="00C563EA">
        <w:t xml:space="preserve">R$ 10.670,76 (dez mil, seiscentos e setenta reais e setenta e seis centavos), referente ao mês de maio de 2016, </w:t>
      </w:r>
      <w:r w:rsidR="00E0039A" w:rsidRPr="004A32F5">
        <w:t xml:space="preserve">junto </w:t>
      </w:r>
      <w:r w:rsidR="0088554F" w:rsidRPr="004A32F5">
        <w:t>ao Departamento</w:t>
      </w:r>
      <w:r w:rsidR="00774982">
        <w:t xml:space="preserve"> Farmacologia, </w:t>
      </w:r>
      <w:r w:rsidR="002E6E24" w:rsidRPr="004A32F5">
        <w:t xml:space="preserve">na </w:t>
      </w:r>
      <w:r w:rsidR="00E0039A" w:rsidRPr="004A32F5">
        <w:t>área de conhecimento</w:t>
      </w:r>
      <w:r w:rsidR="00774982">
        <w:t xml:space="preserve"> de Farmacologia Geral</w:t>
      </w:r>
      <w:r w:rsidR="00E0039A" w:rsidRPr="004A32F5">
        <w:t>, nos termos do art. 125, parágrafo 1º, do Regimento Geral da USP</w:t>
      </w:r>
      <w:r w:rsidR="00EC4252" w:rsidRPr="004A32F5">
        <w:t>, e o respectivo programa que segue</w:t>
      </w:r>
      <w:r w:rsidR="00F33649" w:rsidRPr="004A32F5">
        <w:t>: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 xml:space="preserve">Farmacocinética: Vias de administração, absorção, distribuição, </w:t>
      </w:r>
      <w:proofErr w:type="spellStart"/>
      <w:r w:rsidRPr="00FC27CC">
        <w:t>biotransformação</w:t>
      </w:r>
      <w:proofErr w:type="spellEnd"/>
      <w:r w:rsidRPr="00FC27CC">
        <w:t xml:space="preserve"> e excreção de fármacos.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Farmacodinâmica - Interação droga-receptor / Farmacologia molecular.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proofErr w:type="spellStart"/>
      <w:r w:rsidRPr="00FC27CC">
        <w:t>Farmacogenética</w:t>
      </w:r>
      <w:proofErr w:type="spellEnd"/>
      <w:r w:rsidRPr="00FC27CC">
        <w:t>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Modulação farmacológica do sistema colinérgico.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Farmacologia da junção neuromuscular.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Modulação farmacológica do sistema adrenérgico.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Fármacos utilizados no tratamento de hipertensão arterial.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Fármacos utilizados no tratamento da insuficiência cardíaca.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Fármacos utilizados no tratamento do diabetes.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Fármacos utilizados no tratamento de dislipidemias.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Fármacos anti-inflamatórios (</w:t>
      </w:r>
      <w:proofErr w:type="spellStart"/>
      <w:r w:rsidRPr="00FC27CC">
        <w:t>AIEs</w:t>
      </w:r>
      <w:proofErr w:type="spellEnd"/>
      <w:r w:rsidRPr="00FC27CC">
        <w:t>/</w:t>
      </w:r>
      <w:proofErr w:type="spellStart"/>
      <w:r w:rsidRPr="00FC27CC">
        <w:t>AINEs</w:t>
      </w:r>
      <w:proofErr w:type="spellEnd"/>
      <w:r w:rsidRPr="00FC27CC">
        <w:t>).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Fármacos utilizados no tratamento da Asma.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Farmacologia do sistema digestório.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 xml:space="preserve">Analgésicos </w:t>
      </w:r>
      <w:proofErr w:type="spellStart"/>
      <w:r w:rsidRPr="00FC27CC">
        <w:t>Opioides</w:t>
      </w:r>
      <w:proofErr w:type="spellEnd"/>
      <w:r w:rsidRPr="00FC27CC">
        <w:t>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Ansiolíticos e hipnóticos.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proofErr w:type="spellStart"/>
      <w:r w:rsidRPr="00FC27CC">
        <w:t>Antipsicóticos</w:t>
      </w:r>
      <w:proofErr w:type="spellEnd"/>
      <w:r w:rsidRPr="00FC27CC">
        <w:t>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Anticonvulsivantes.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Antidepressivos.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Drogas de abuso: dependência.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 xml:space="preserve">Fármacos utilizados no tratamento de doenças </w:t>
      </w:r>
      <w:proofErr w:type="spellStart"/>
      <w:r w:rsidRPr="00FC27CC">
        <w:t>neurodegenerativas</w:t>
      </w:r>
      <w:proofErr w:type="spellEnd"/>
      <w:r w:rsidRPr="00FC27CC">
        <w:t>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proofErr w:type="spellStart"/>
      <w:r w:rsidRPr="00FC27CC">
        <w:t>Antineoplásicos</w:t>
      </w:r>
      <w:proofErr w:type="spellEnd"/>
      <w:r w:rsidRPr="00FC27CC">
        <w:t>.</w:t>
      </w:r>
    </w:p>
    <w:p w:rsidR="00AB545B" w:rsidRPr="00FC27CC" w:rsidRDefault="00AB545B" w:rsidP="00AB545B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 w:rsidRPr="00FC27CC">
        <w:t>Fármacos antibacterianos.</w:t>
      </w:r>
    </w:p>
    <w:p w:rsidR="00F203F8" w:rsidRDefault="00F203F8" w:rsidP="00276249">
      <w:pPr>
        <w:jc w:val="both"/>
      </w:pPr>
    </w:p>
    <w:p w:rsidR="00D202D9" w:rsidRPr="00FC27CC" w:rsidRDefault="00D202D9" w:rsidP="00D202D9">
      <w:pPr>
        <w:rPr>
          <w:b/>
        </w:rPr>
      </w:pPr>
      <w:r w:rsidRPr="00FC27CC">
        <w:rPr>
          <w:b/>
        </w:rPr>
        <w:lastRenderedPageBreak/>
        <w:t>Bibliografia Básica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  <w:r w:rsidRPr="00FC27CC">
        <w:t xml:space="preserve">1. </w:t>
      </w:r>
      <w:proofErr w:type="spellStart"/>
      <w:r w:rsidRPr="00FC27CC">
        <w:t>Brunton</w:t>
      </w:r>
      <w:proofErr w:type="spellEnd"/>
      <w:r w:rsidRPr="00FC27CC">
        <w:t xml:space="preserve"> LL (Ed.) – Goodman &amp; Gilman’s The Pharmacological Basis of Therapeutics. 12th ed. McGraw Hill, NY 2011.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  <w:r w:rsidRPr="00FC27CC">
        <w:t>2. Rang HP, Dale MM, Ritter JM, Flower RJ &amp; Henderson G – Rang and Dale’s Pharmacology. 7th ed. Elsevier-Churchill Livingstone, Edinburgh 2012.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  <w:r w:rsidRPr="00FC27CC">
        <w:t xml:space="preserve">3. </w:t>
      </w:r>
      <w:proofErr w:type="spellStart"/>
      <w:r w:rsidRPr="00FC27CC">
        <w:t>Katzung</w:t>
      </w:r>
      <w:proofErr w:type="spellEnd"/>
      <w:r w:rsidRPr="00FC27CC">
        <w:t xml:space="preserve"> BG, Masters SB &amp; Trevor AJ – Basic and Clinical Pharmacology. 12th ed. McGraw Hill-Lange, NY 2011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  <w:r w:rsidRPr="00FC27CC">
        <w:t xml:space="preserve">4. </w:t>
      </w:r>
      <w:proofErr w:type="spellStart"/>
      <w:r w:rsidRPr="00FC27CC">
        <w:t>Minneman</w:t>
      </w:r>
      <w:proofErr w:type="spellEnd"/>
      <w:r w:rsidRPr="00FC27CC">
        <w:t xml:space="preserve"> KP &amp; </w:t>
      </w:r>
      <w:proofErr w:type="spellStart"/>
      <w:r w:rsidRPr="00FC27CC">
        <w:t>Wecker</w:t>
      </w:r>
      <w:proofErr w:type="spellEnd"/>
      <w:r w:rsidRPr="00FC27CC">
        <w:t xml:space="preserve"> L – Brody’s Human Pharmacology - Molecular to Clinical. 4th ed. Elsevier-Mosby, Philadelphia 2005.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</w:p>
    <w:p w:rsidR="00FC27CC" w:rsidRPr="00855983" w:rsidRDefault="00FC27CC" w:rsidP="00FC27CC">
      <w:pPr>
        <w:spacing w:after="0" w:line="240" w:lineRule="auto"/>
        <w:rPr>
          <w:b/>
        </w:rPr>
      </w:pPr>
      <w:r w:rsidRPr="00FC27CC">
        <w:t xml:space="preserve">5.  Nestler E, Hyman S, Malenka R. Molecular Neuropharmacology: A Foundation for Clinical </w:t>
      </w:r>
      <w:r w:rsidRPr="00855983">
        <w:rPr>
          <w:b/>
        </w:rPr>
        <w:t>Neuroscience, 2nd Edition, McGraw-Hill, 2008.</w:t>
      </w:r>
    </w:p>
    <w:p w:rsidR="00FC27CC" w:rsidRPr="00FC27CC" w:rsidRDefault="00FC27CC" w:rsidP="00FC27CC">
      <w:pPr>
        <w:spacing w:after="0" w:line="240" w:lineRule="auto"/>
      </w:pP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</w:pPr>
      <w:r w:rsidRPr="00FC27CC">
        <w:t xml:space="preserve">6. Golan DE, </w:t>
      </w:r>
      <w:proofErr w:type="spellStart"/>
      <w:r w:rsidRPr="00FC27CC">
        <w:t>Tashjian</w:t>
      </w:r>
      <w:proofErr w:type="spellEnd"/>
      <w:r w:rsidRPr="00FC27CC">
        <w:t xml:space="preserve"> Jr AH, Armstrong EJ &amp; Armstrong AW – Principles of Pharmacology: The Pathophysiologic Basis of Drug Therapy. 2nd ed. Lippincott-Williams &amp; Wilkins, NY 2008</w:t>
      </w:r>
    </w:p>
    <w:p w:rsidR="00FC27CC" w:rsidRPr="00FC27CC" w:rsidRDefault="00FC27CC" w:rsidP="00276249">
      <w:pPr>
        <w:jc w:val="both"/>
        <w:rPr>
          <w:rFonts w:ascii="Calibri" w:hAnsi="Calibri" w:cs="Arial"/>
          <w:sz w:val="24"/>
          <w:szCs w:val="24"/>
        </w:rPr>
      </w:pPr>
    </w:p>
    <w:p w:rsidR="00983D38" w:rsidRPr="004A32F5" w:rsidRDefault="00983D38" w:rsidP="00276249">
      <w:pPr>
        <w:jc w:val="both"/>
      </w:pPr>
      <w:r w:rsidRPr="004A32F5">
        <w:t>O concurso será regido pelo disposto no Estatuto</w:t>
      </w:r>
      <w:r w:rsidR="009D1BF5" w:rsidRPr="004A32F5">
        <w:t xml:space="preserve"> e </w:t>
      </w:r>
      <w:r w:rsidRPr="004A32F5">
        <w:t xml:space="preserve">no Regimento Geral da Universidade de São Paulo e </w:t>
      </w:r>
      <w:r w:rsidR="009D1BF5" w:rsidRPr="004A32F5">
        <w:t>no Regimento d</w:t>
      </w:r>
      <w:r w:rsidR="00C56AA4">
        <w:t>o Instituto de Ciências Biomédicas</w:t>
      </w:r>
      <w:r w:rsidRPr="004A32F5">
        <w:t>.</w:t>
      </w:r>
    </w:p>
    <w:p w:rsidR="00A0509A" w:rsidRPr="00A6796D" w:rsidRDefault="00A0509A" w:rsidP="00FB25B9">
      <w:pPr>
        <w:pStyle w:val="PargrafodaLista"/>
        <w:numPr>
          <w:ilvl w:val="0"/>
          <w:numId w:val="1"/>
        </w:numPr>
        <w:jc w:val="both"/>
      </w:pPr>
      <w:r w:rsidRPr="00A6796D">
        <w:t xml:space="preserve">Os pedidos de inscrição </w:t>
      </w:r>
      <w:r>
        <w:t xml:space="preserve">deverão ser feitos, </w:t>
      </w:r>
      <w:r w:rsidRPr="00D05C31">
        <w:rPr>
          <w:b/>
        </w:rPr>
        <w:t>exclusivamente,</w:t>
      </w:r>
      <w:r>
        <w:t xml:space="preserve"> por meio do link </w:t>
      </w:r>
      <w:hyperlink r:id="rId6" w:tgtFrame="_blank" w:history="1">
        <w:r>
          <w:rPr>
            <w:rStyle w:val="Hyperlink"/>
          </w:rPr>
          <w:t>https://uspdigital.usp.br/gr/admissao</w:t>
        </w:r>
      </w:hyperlink>
      <w:r w:rsidRPr="00A6796D">
        <w:t>,</w:t>
      </w:r>
      <w:r>
        <w:t xml:space="preserve"> no período acima indicado, </w:t>
      </w:r>
      <w:r w:rsidRPr="00A6796D">
        <w:t>devendo o candidato apresentar requerimento dirigido ao Diretor d</w:t>
      </w:r>
      <w:r w:rsidR="00C74895">
        <w:t>o Instituto de Ciências Biomédicas</w:t>
      </w:r>
      <w:r w:rsidR="005250DE">
        <w:t xml:space="preserve"> </w:t>
      </w:r>
      <w:hyperlink r:id="rId7" w:history="1">
        <w:r w:rsidR="00D05C31" w:rsidRPr="00AB252D">
          <w:rPr>
            <w:rStyle w:val="Hyperlink"/>
          </w:rPr>
          <w:t>ww2.icb.usp.br/</w:t>
        </w:r>
        <w:proofErr w:type="spellStart"/>
        <w:r w:rsidR="00D05C31" w:rsidRPr="00AB252D">
          <w:rPr>
            <w:rStyle w:val="Hyperlink"/>
          </w:rPr>
          <w:t>con</w:t>
        </w:r>
        <w:proofErr w:type="spellEnd"/>
        <w:r w:rsidR="00D05C31" w:rsidRPr="00AB252D">
          <w:rPr>
            <w:rStyle w:val="Hyperlink"/>
          </w:rPr>
          <w:t>/</w:t>
        </w:r>
        <w:proofErr w:type="spellStart"/>
        <w:r w:rsidR="00D05C31" w:rsidRPr="00AB252D">
          <w:rPr>
            <w:rStyle w:val="Hyperlink"/>
          </w:rPr>
          <w:t>formularios</w:t>
        </w:r>
        <w:proofErr w:type="spellEnd"/>
        <w:r w:rsidR="00D05C31" w:rsidRPr="00AB252D">
          <w:rPr>
            <w:rStyle w:val="Hyperlink"/>
          </w:rPr>
          <w:t>/</w:t>
        </w:r>
      </w:hyperlink>
      <w:r w:rsidR="00D05C31">
        <w:t xml:space="preserve">, </w:t>
      </w:r>
      <w:r w:rsidRPr="00A6796D">
        <w:t>contendo dados pessoais e área de conhecimento</w:t>
      </w:r>
      <w:r w:rsidR="00870F51">
        <w:t xml:space="preserve"> (especialidade)</w:t>
      </w:r>
      <w:r w:rsidR="00C74895">
        <w:t xml:space="preserve"> </w:t>
      </w:r>
      <w:r w:rsidRPr="00A6796D">
        <w:t xml:space="preserve">do Departamento a que concorre, </w:t>
      </w:r>
      <w:r w:rsidR="00870F51">
        <w:t xml:space="preserve">anexando </w:t>
      </w:r>
      <w:r w:rsidRPr="00A6796D">
        <w:t>os seguintes documentos:</w:t>
      </w:r>
    </w:p>
    <w:p w:rsidR="00F33649" w:rsidRPr="004A32F5" w:rsidRDefault="00983D38" w:rsidP="00276249">
      <w:pPr>
        <w:ind w:left="360"/>
        <w:jc w:val="both"/>
        <w:rPr>
          <w:u w:val="double"/>
        </w:rPr>
      </w:pPr>
      <w:r w:rsidRPr="004A32F5">
        <w:t xml:space="preserve">I – </w:t>
      </w:r>
      <w:proofErr w:type="gramStart"/>
      <w:r w:rsidR="00394BA2">
        <w:t>memorial</w:t>
      </w:r>
      <w:proofErr w:type="gramEnd"/>
      <w:r w:rsidR="00394BA2">
        <w:t xml:space="preserve"> circunstanciado e comprovação dos trabalhos publicados, das atividades realizadas pertinentes ao concurso e das demais informações que permitam avaliação de seus méritos, em formato digital.</w:t>
      </w:r>
      <w:r w:rsidR="0018404C" w:rsidRPr="004A32F5">
        <w:t xml:space="preserve"> </w:t>
      </w:r>
    </w:p>
    <w:p w:rsidR="00347B42" w:rsidRPr="004A32F5" w:rsidRDefault="00347B42" w:rsidP="00347B42">
      <w:pPr>
        <w:ind w:left="360"/>
        <w:jc w:val="both"/>
      </w:pPr>
      <w:r w:rsidRPr="004A32F5">
        <w:t xml:space="preserve">II – </w:t>
      </w:r>
      <w:proofErr w:type="gramStart"/>
      <w:r w:rsidRPr="004A32F5">
        <w:t>prova</w:t>
      </w:r>
      <w:proofErr w:type="gramEnd"/>
      <w:r w:rsidRPr="004A32F5">
        <w:t xml:space="preserve"> de que é portador do título de Doutor outorgado pela USP, por ela reconhecido ou de validade nacional;</w:t>
      </w:r>
    </w:p>
    <w:p w:rsidR="00347B42" w:rsidRPr="004A32F5" w:rsidRDefault="00347B42" w:rsidP="00347B42">
      <w:pPr>
        <w:ind w:left="360"/>
      </w:pPr>
      <w:r w:rsidRPr="004A32F5">
        <w:t>III – prova de quitação com o serviço militar para candidatos do sexo masculino;</w:t>
      </w:r>
    </w:p>
    <w:p w:rsidR="00347B42" w:rsidRPr="004A32F5" w:rsidRDefault="00347B42" w:rsidP="00347B42">
      <w:pPr>
        <w:ind w:left="360"/>
      </w:pPr>
      <w:r w:rsidRPr="004A32F5">
        <w:t xml:space="preserve">IV – </w:t>
      </w:r>
      <w:proofErr w:type="gramStart"/>
      <w:r w:rsidRPr="004A32F5">
        <w:t>título</w:t>
      </w:r>
      <w:proofErr w:type="gramEnd"/>
      <w:r w:rsidRPr="004A32F5">
        <w:t xml:space="preserve"> de eleitor;</w:t>
      </w:r>
    </w:p>
    <w:p w:rsidR="00347B42" w:rsidRDefault="00347B42" w:rsidP="00347B42">
      <w:pPr>
        <w:ind w:left="360"/>
      </w:pPr>
      <w:r w:rsidRPr="004A32F5">
        <w:t xml:space="preserve">V – </w:t>
      </w:r>
      <w:proofErr w:type="gramStart"/>
      <w:r w:rsidRPr="004A32F5">
        <w:t>comprovante(</w:t>
      </w:r>
      <w:proofErr w:type="gramEnd"/>
      <w:r w:rsidRPr="004A32F5">
        <w:t>s) de votação da última eleição, prova de pagamento da respectiva multa ou a devida justificativa.</w:t>
      </w:r>
    </w:p>
    <w:p w:rsidR="00D144B3" w:rsidRDefault="00D144B3" w:rsidP="00D144B3">
      <w:pPr>
        <w:ind w:left="360"/>
      </w:pPr>
      <w:r>
        <w:t>VI</w:t>
      </w:r>
      <w:r w:rsidR="00394BA2">
        <w:t xml:space="preserve"> </w:t>
      </w:r>
      <w:r>
        <w:t>–</w:t>
      </w:r>
      <w:r w:rsidR="00394BA2">
        <w:t xml:space="preserve"> </w:t>
      </w:r>
      <w:r>
        <w:t xml:space="preserve"> projeto de pesquisa, em formato digital, elaborado nas especialidades pertencentes à área de conhecimento do presente edital.</w:t>
      </w:r>
    </w:p>
    <w:p w:rsidR="00D144B3" w:rsidRPr="00CF0B9C" w:rsidRDefault="00D144B3" w:rsidP="00D144B3">
      <w:pPr>
        <w:ind w:left="360"/>
        <w:rPr>
          <w:color w:val="000000" w:themeColor="text1"/>
        </w:rPr>
      </w:pPr>
      <w:r>
        <w:t xml:space="preserve">Parágrafo primeiro: </w:t>
      </w:r>
      <w:r w:rsidRPr="00CF0B9C">
        <w:rPr>
          <w:color w:val="000000" w:themeColor="text1"/>
        </w:rPr>
        <w:t>Elementos comprobatórios do memorial referido no inciso I, tais como maquetes, obras de arte ou outros materiais que não puderem ser digitalizados deverão ser apresentados até o último dia útil que antecede o início do concurso.</w:t>
      </w:r>
    </w:p>
    <w:p w:rsidR="00347B42" w:rsidRPr="004A32F5" w:rsidRDefault="00347B42" w:rsidP="00D144B3">
      <w:pPr>
        <w:ind w:left="360"/>
      </w:pPr>
      <w:r w:rsidRPr="004A32F5">
        <w:lastRenderedPageBreak/>
        <w:t xml:space="preserve">Parágrafo </w:t>
      </w:r>
      <w:r w:rsidR="00D144B3">
        <w:t>segundo</w:t>
      </w:r>
      <w:r w:rsidRPr="004A32F5">
        <w:t xml:space="preserve">: Os docentes em exercício na USP serão dispensados das exigências referidas nos incisos III e IV, desde que as tenham cumprido por ocasião de seu contrato inicial. </w:t>
      </w:r>
    </w:p>
    <w:p w:rsidR="00347B42" w:rsidRPr="004A32F5" w:rsidRDefault="00347B42" w:rsidP="00347B42">
      <w:pPr>
        <w:ind w:left="360"/>
        <w:jc w:val="both"/>
      </w:pPr>
      <w:r w:rsidRPr="004A32F5">
        <w:t xml:space="preserve">Parágrafo </w:t>
      </w:r>
      <w:r w:rsidR="00AC72CB">
        <w:t>terceiro</w:t>
      </w:r>
      <w:r w:rsidRPr="004A32F5">
        <w:t>: Os candidatos estrangeiros serão dispensados das exigências dos incisos III, IV e V, devendo comprov</w:t>
      </w:r>
      <w:r w:rsidR="006B78ED" w:rsidRPr="004A32F5">
        <w:t>ar que se encontram em</w:t>
      </w:r>
      <w:r w:rsidRPr="004A32F5">
        <w:t xml:space="preserve"> situação regular no Brasil.</w:t>
      </w:r>
    </w:p>
    <w:p w:rsidR="00C377AD" w:rsidRPr="004A32F5" w:rsidRDefault="00C377AD" w:rsidP="00347B42">
      <w:pPr>
        <w:ind w:left="360"/>
        <w:jc w:val="both"/>
      </w:pPr>
      <w:r w:rsidRPr="004A32F5">
        <w:t xml:space="preserve">Parágrafo </w:t>
      </w:r>
      <w:r w:rsidR="00AC72CB">
        <w:t>quarto</w:t>
      </w:r>
      <w:r w:rsidRPr="004A32F5">
        <w:t>: O candidato estrangeiro aprovado no concurso e indicado para o preenchimento do cargo só poderá tomar posse se apresentar visto temporário ou permanente que faculte o exercício de atividade remunerada no Brasil.</w:t>
      </w:r>
    </w:p>
    <w:p w:rsidR="00C377AD" w:rsidRPr="004A32F5" w:rsidRDefault="00C377AD" w:rsidP="00C377AD">
      <w:pPr>
        <w:ind w:left="360"/>
        <w:jc w:val="both"/>
      </w:pPr>
      <w:r w:rsidRPr="004A32F5">
        <w:t xml:space="preserve">Parágrafo </w:t>
      </w:r>
      <w:r w:rsidR="00AC72CB">
        <w:t>quinto</w:t>
      </w:r>
      <w:r w:rsidRPr="004A32F5">
        <w:t xml:space="preserve">: No </w:t>
      </w:r>
      <w:r w:rsidR="00855983" w:rsidRPr="00855983">
        <w:rPr>
          <w:b/>
        </w:rPr>
        <w:t>requerimento de</w:t>
      </w:r>
      <w:r w:rsidRPr="00855983">
        <w:rPr>
          <w:b/>
        </w:rPr>
        <w:t xml:space="preserve"> inscrição</w:t>
      </w:r>
      <w:r w:rsidRPr="004A32F5">
        <w:t>, os candidatos portadores de necessidades especiais deverão apresentar solicitação para que se providenciem as condições necessárias para a realização das provas.</w:t>
      </w:r>
    </w:p>
    <w:p w:rsidR="00687049" w:rsidRPr="004A32F5" w:rsidRDefault="00687049" w:rsidP="00276249">
      <w:pPr>
        <w:pStyle w:val="PargrafodaLista"/>
        <w:numPr>
          <w:ilvl w:val="0"/>
          <w:numId w:val="1"/>
        </w:numPr>
        <w:ind w:left="357" w:hanging="357"/>
        <w:jc w:val="both"/>
      </w:pPr>
      <w:r w:rsidRPr="004A32F5">
        <w:t>As inscrições serão julgadas pela Congregação d</w:t>
      </w:r>
      <w:r w:rsidR="00932900">
        <w:t>o Instituto de Ciências Biomédicas</w:t>
      </w:r>
      <w:r w:rsidRPr="004A32F5">
        <w:t>, em seu</w:t>
      </w:r>
      <w:r w:rsidR="000F611A" w:rsidRPr="004A32F5">
        <w:t xml:space="preserve"> aspecto formal, </w:t>
      </w:r>
      <w:r w:rsidRPr="004A32F5">
        <w:t>publicando-se a decisão</w:t>
      </w:r>
      <w:r w:rsidR="0038572B" w:rsidRPr="004A32F5">
        <w:t xml:space="preserve"> em edital</w:t>
      </w:r>
      <w:r w:rsidRPr="004A32F5">
        <w:t>.</w:t>
      </w:r>
    </w:p>
    <w:p w:rsidR="00364ACF" w:rsidRPr="004A32F5" w:rsidRDefault="00C004BE" w:rsidP="00276249">
      <w:pPr>
        <w:ind w:left="360"/>
        <w:jc w:val="both"/>
      </w:pPr>
      <w:r w:rsidRPr="004A32F5">
        <w:t xml:space="preserve">Parágrafo </w:t>
      </w:r>
      <w:r w:rsidR="0038572B" w:rsidRPr="004A32F5">
        <w:t>únic</w:t>
      </w:r>
      <w:r w:rsidR="004E1A01" w:rsidRPr="004A32F5">
        <w:t>o</w:t>
      </w:r>
      <w:r w:rsidR="00E52EAA" w:rsidRPr="004A32F5">
        <w:t xml:space="preserve"> – O concurso deverá realizar-se no prazo de trinta a cento e vinte dias, </w:t>
      </w:r>
      <w:r w:rsidR="00AC2886" w:rsidRPr="004A32F5">
        <w:t xml:space="preserve">a contar da data da </w:t>
      </w:r>
      <w:r w:rsidR="00B90093" w:rsidRPr="004A32F5">
        <w:t xml:space="preserve">publicação no Diário Oficial do Estado da </w:t>
      </w:r>
      <w:r w:rsidR="00E52EAA" w:rsidRPr="004A32F5">
        <w:t xml:space="preserve">aprovação </w:t>
      </w:r>
      <w:r w:rsidR="00364ACF" w:rsidRPr="004A32F5">
        <w:t>das inscrições</w:t>
      </w:r>
      <w:r w:rsidR="00E52EAA" w:rsidRPr="004A32F5">
        <w:t>, de acordo com o artigo 134, parágrafo único</w:t>
      </w:r>
      <w:r w:rsidR="0037113F" w:rsidRPr="004A32F5">
        <w:t>,</w:t>
      </w:r>
      <w:r w:rsidR="00E52EAA" w:rsidRPr="004A32F5">
        <w:t xml:space="preserve"> do Regimento Geral</w:t>
      </w:r>
      <w:r w:rsidR="002E2F3E" w:rsidRPr="004A32F5">
        <w:t xml:space="preserve"> da USP</w:t>
      </w:r>
      <w:r w:rsidR="00E52EAA" w:rsidRPr="004A32F5">
        <w:t>.</w:t>
      </w:r>
      <w:r w:rsidR="00D24E83" w:rsidRPr="004A32F5">
        <w:t xml:space="preserve"> </w:t>
      </w:r>
    </w:p>
    <w:p w:rsidR="002E2F3E" w:rsidRPr="004A32F5" w:rsidRDefault="00364ACF" w:rsidP="00364ACF">
      <w:pPr>
        <w:pStyle w:val="PargrafodaLista"/>
        <w:numPr>
          <w:ilvl w:val="0"/>
          <w:numId w:val="1"/>
        </w:numPr>
        <w:jc w:val="both"/>
      </w:pPr>
      <w:r w:rsidRPr="004A32F5">
        <w:t xml:space="preserve">O concurso será realizado segundo critérios objetivos, em </w:t>
      </w:r>
      <w:r w:rsidR="004E1A01" w:rsidRPr="004A32F5">
        <w:t xml:space="preserve">duas fases, </w:t>
      </w:r>
      <w:r w:rsidRPr="004A32F5">
        <w:t>por meio de atribuição de notas em provas, assim divididas:</w:t>
      </w:r>
    </w:p>
    <w:p w:rsidR="00364ACF" w:rsidRPr="009F0567" w:rsidRDefault="00364ACF" w:rsidP="00364ACF">
      <w:pPr>
        <w:pStyle w:val="PargrafodaLista"/>
        <w:ind w:left="502" w:firstLine="206"/>
        <w:jc w:val="both"/>
        <w:rPr>
          <w:b/>
        </w:rPr>
      </w:pPr>
      <w:r w:rsidRPr="004A32F5">
        <w:t>1ª fase (elimina</w:t>
      </w:r>
      <w:r w:rsidR="00B01E12">
        <w:t xml:space="preserve">tória) – prova escrita – </w:t>
      </w:r>
      <w:r w:rsidR="00B01E12" w:rsidRPr="009F0567">
        <w:t xml:space="preserve">peso </w:t>
      </w:r>
      <w:r w:rsidR="00AB545B" w:rsidRPr="009F0567">
        <w:t>2</w:t>
      </w:r>
    </w:p>
    <w:p w:rsidR="00364ACF" w:rsidRPr="004A32F5" w:rsidRDefault="00364ACF" w:rsidP="00364ACF">
      <w:pPr>
        <w:pStyle w:val="PargrafodaLista"/>
      </w:pPr>
      <w:r w:rsidRPr="004A32F5">
        <w:t xml:space="preserve">2ª fase – I) julgamento do memorial com prova pública de arguição - </w:t>
      </w:r>
      <w:r w:rsidRPr="009F0567">
        <w:t xml:space="preserve">peso </w:t>
      </w:r>
      <w:r w:rsidR="00B01E12" w:rsidRPr="009F0567">
        <w:t>5</w:t>
      </w:r>
    </w:p>
    <w:p w:rsidR="00364ACF" w:rsidRPr="004A32F5" w:rsidRDefault="00364ACF" w:rsidP="00AB545B">
      <w:pPr>
        <w:pStyle w:val="PargrafodaLista"/>
        <w:ind w:firstLine="696"/>
      </w:pPr>
      <w:r w:rsidRPr="004A32F5">
        <w:t xml:space="preserve">  II) prova didática - </w:t>
      </w:r>
      <w:r w:rsidRPr="009F0567">
        <w:t xml:space="preserve">peso </w:t>
      </w:r>
      <w:r w:rsidR="00B01E12" w:rsidRPr="009F0567">
        <w:t>3</w:t>
      </w:r>
      <w:r w:rsidRPr="004A32F5">
        <w:tab/>
      </w:r>
      <w:r w:rsidR="005156F5" w:rsidRPr="004A32F5">
        <w:t xml:space="preserve">  </w:t>
      </w:r>
    </w:p>
    <w:p w:rsidR="005156F5" w:rsidRDefault="005156F5" w:rsidP="005156F5">
      <w:pPr>
        <w:ind w:left="360"/>
        <w:jc w:val="both"/>
      </w:pPr>
      <w:r w:rsidRPr="004A32F5">
        <w:t>Parágrafo primeiro: A convocação dos inscritos para a realização das provas será publicada no Diário Oficial do Estado.</w:t>
      </w:r>
    </w:p>
    <w:p w:rsidR="005156F5" w:rsidRPr="004A32F5" w:rsidRDefault="005156F5" w:rsidP="005156F5">
      <w:pPr>
        <w:ind w:left="360"/>
        <w:jc w:val="both"/>
      </w:pPr>
      <w:r w:rsidRPr="004A32F5">
        <w:t xml:space="preserve">Parágrafo </w:t>
      </w:r>
      <w:r w:rsidR="0038572B" w:rsidRPr="004A32F5">
        <w:t>segund</w:t>
      </w:r>
      <w:r w:rsidRPr="004A32F5">
        <w:t>o: Os candidatos que se apresentarem depois do horário estabelecido não poderão realizar as provas.</w:t>
      </w:r>
    </w:p>
    <w:p w:rsidR="005156F5" w:rsidRPr="005B2B3D" w:rsidRDefault="005156F5" w:rsidP="00276249">
      <w:pPr>
        <w:ind w:left="360"/>
        <w:jc w:val="both"/>
        <w:rPr>
          <w:b/>
        </w:rPr>
      </w:pPr>
      <w:r w:rsidRPr="005B2B3D">
        <w:rPr>
          <w:b/>
        </w:rPr>
        <w:t>I – Primeira fase: PROVA ESCRITA – Caráter Eliminatório</w:t>
      </w:r>
    </w:p>
    <w:p w:rsidR="008D1F2A" w:rsidRPr="004A32F5" w:rsidRDefault="008D1F2A" w:rsidP="00276249">
      <w:pPr>
        <w:pStyle w:val="PargrafodaLista"/>
        <w:numPr>
          <w:ilvl w:val="0"/>
          <w:numId w:val="1"/>
        </w:numPr>
        <w:jc w:val="both"/>
      </w:pPr>
      <w:r w:rsidRPr="004A32F5">
        <w:t>A prova escrita</w:t>
      </w:r>
      <w:r w:rsidR="005156F5" w:rsidRPr="004A32F5">
        <w:t>, que</w:t>
      </w:r>
      <w:r w:rsidRPr="004A32F5">
        <w:t xml:space="preserve"> versará sobre </w:t>
      </w:r>
      <w:r w:rsidR="005156F5" w:rsidRPr="004A32F5">
        <w:t xml:space="preserve">assunto de ordem geral e doutrinária, será realizada </w:t>
      </w:r>
      <w:r w:rsidRPr="004A32F5">
        <w:t>de acordo com o disposto no art. 139, e seu parágrafo único, do Regimento Geral da USP.</w:t>
      </w:r>
    </w:p>
    <w:p w:rsidR="008D1F2A" w:rsidRPr="004A32F5" w:rsidRDefault="002F518B" w:rsidP="00276249">
      <w:pPr>
        <w:pStyle w:val="PargrafodaLista"/>
        <w:jc w:val="both"/>
      </w:pPr>
      <w:r w:rsidRPr="004A32F5">
        <w:t xml:space="preserve">I – </w:t>
      </w:r>
      <w:proofErr w:type="gramStart"/>
      <w:r w:rsidRPr="004A32F5">
        <w:t>a</w:t>
      </w:r>
      <w:proofErr w:type="gramEnd"/>
      <w:r w:rsidR="008D1F2A" w:rsidRPr="004A32F5">
        <w:t xml:space="preserve"> </w:t>
      </w:r>
      <w:r w:rsidR="00A23478" w:rsidRPr="004A32F5">
        <w:t>c</w:t>
      </w:r>
      <w:r w:rsidR="008D1F2A" w:rsidRPr="004A32F5">
        <w:t xml:space="preserve">omissão </w:t>
      </w:r>
      <w:r w:rsidR="00A23478" w:rsidRPr="004A32F5">
        <w:t>j</w:t>
      </w:r>
      <w:r w:rsidR="0090351B" w:rsidRPr="004A32F5">
        <w:t xml:space="preserve">ulgadora </w:t>
      </w:r>
      <w:r w:rsidR="008D1F2A" w:rsidRPr="004A32F5">
        <w:t>organizará uma lista de dez pontos, com base no programa do concurso, e dela dará conhecimento aos candidatos vinte e quatro horas antes do sorteio do ponto</w:t>
      </w:r>
      <w:r w:rsidR="00A16AD0" w:rsidRPr="004A32F5">
        <w:t>, sendo vedado ao candidato renunciar a esse prazo;</w:t>
      </w:r>
    </w:p>
    <w:p w:rsidR="002F518B" w:rsidRPr="004A32F5" w:rsidRDefault="002F518B" w:rsidP="00276249">
      <w:pPr>
        <w:pStyle w:val="PargrafodaLista"/>
        <w:jc w:val="both"/>
      </w:pPr>
    </w:p>
    <w:p w:rsidR="00A16AD0" w:rsidRPr="004A32F5" w:rsidRDefault="00A16AD0" w:rsidP="00276249">
      <w:pPr>
        <w:pStyle w:val="PargrafodaLista"/>
        <w:jc w:val="both"/>
      </w:pPr>
      <w:r w:rsidRPr="004A32F5">
        <w:t xml:space="preserve">II - </w:t>
      </w:r>
      <w:proofErr w:type="gramStart"/>
      <w:r w:rsidR="002F518B" w:rsidRPr="004A32F5">
        <w:t>o</w:t>
      </w:r>
      <w:proofErr w:type="gramEnd"/>
      <w:r w:rsidRPr="004A32F5">
        <w:t xml:space="preserve"> candidato poderá propor a substituição d</w:t>
      </w:r>
      <w:r w:rsidR="00BE76B0" w:rsidRPr="004A32F5">
        <w:t>e</w:t>
      </w:r>
      <w:r w:rsidRPr="004A32F5">
        <w:t xml:space="preserve"> pontos, imediatamente após tomar conhecimento de seus enunciados, se entender que não pertencem ao programa do concurso, cabendo à comissão julgadora decidir, de plano, sobre a procedência da alegação;</w:t>
      </w:r>
    </w:p>
    <w:p w:rsidR="002F518B" w:rsidRPr="004A32F5" w:rsidRDefault="002F518B" w:rsidP="00276249">
      <w:pPr>
        <w:pStyle w:val="PargrafodaLista"/>
        <w:jc w:val="both"/>
      </w:pPr>
    </w:p>
    <w:p w:rsidR="008D1F2A" w:rsidRPr="004A32F5" w:rsidRDefault="008D1F2A" w:rsidP="00276249">
      <w:pPr>
        <w:pStyle w:val="PargrafodaLista"/>
        <w:jc w:val="both"/>
      </w:pPr>
      <w:r w:rsidRPr="004A32F5">
        <w:lastRenderedPageBreak/>
        <w:t>II</w:t>
      </w:r>
      <w:r w:rsidR="00A16AD0" w:rsidRPr="004A32F5">
        <w:t>I</w:t>
      </w:r>
      <w:r w:rsidR="002F518B" w:rsidRPr="004A32F5">
        <w:t xml:space="preserve"> - s</w:t>
      </w:r>
      <w:r w:rsidRPr="004A32F5">
        <w:t>orteado o ponto, inicia-se o prazo improrrogável de cinco horas de duração da prova;</w:t>
      </w:r>
    </w:p>
    <w:p w:rsidR="002F518B" w:rsidRPr="004A32F5" w:rsidRDefault="002F518B" w:rsidP="00276249">
      <w:pPr>
        <w:pStyle w:val="PargrafodaLista"/>
        <w:jc w:val="both"/>
      </w:pPr>
    </w:p>
    <w:p w:rsidR="008D1F2A" w:rsidRPr="004A32F5" w:rsidRDefault="008D1F2A" w:rsidP="00276249">
      <w:pPr>
        <w:pStyle w:val="PargrafodaLista"/>
        <w:jc w:val="both"/>
      </w:pPr>
      <w:r w:rsidRPr="004A32F5">
        <w:t>I</w:t>
      </w:r>
      <w:r w:rsidR="00A16AD0" w:rsidRPr="004A32F5">
        <w:t>V</w:t>
      </w:r>
      <w:r w:rsidRPr="004A32F5">
        <w:t xml:space="preserve"> – </w:t>
      </w:r>
      <w:proofErr w:type="gramStart"/>
      <w:r w:rsidR="002F518B" w:rsidRPr="004A32F5">
        <w:t>d</w:t>
      </w:r>
      <w:r w:rsidRPr="004A32F5">
        <w:t>urante</w:t>
      </w:r>
      <w:proofErr w:type="gramEnd"/>
      <w:r w:rsidRPr="004A32F5">
        <w:t xml:space="preserve"> sessenta minutos, após o sorteio, será permitida a consulta a livros, periódicos e outros documentos bibliográficos;</w:t>
      </w:r>
    </w:p>
    <w:p w:rsidR="002F518B" w:rsidRPr="004A32F5" w:rsidRDefault="002F518B" w:rsidP="00276249">
      <w:pPr>
        <w:pStyle w:val="PargrafodaLista"/>
        <w:jc w:val="both"/>
      </w:pPr>
    </w:p>
    <w:p w:rsidR="008D1F2A" w:rsidRPr="004A32F5" w:rsidRDefault="002F518B" w:rsidP="00276249">
      <w:pPr>
        <w:pStyle w:val="PargrafodaLista"/>
        <w:jc w:val="both"/>
      </w:pPr>
      <w:r w:rsidRPr="004A32F5">
        <w:t xml:space="preserve">V – </w:t>
      </w:r>
      <w:proofErr w:type="gramStart"/>
      <w:r w:rsidRPr="004A32F5">
        <w:t>a</w:t>
      </w:r>
      <w:r w:rsidR="008D1F2A" w:rsidRPr="004A32F5">
        <w:t>s</w:t>
      </w:r>
      <w:proofErr w:type="gramEnd"/>
      <w:r w:rsidR="008D1F2A" w:rsidRPr="004A32F5">
        <w:t xml:space="preserve"> anotações efetuadas durante o período de consulta poderão ser utilizadas no decorrer da prova, devendo ser </w:t>
      </w:r>
      <w:r w:rsidR="00A23478" w:rsidRPr="004A32F5">
        <w:t>feitas em papel rubricado pela c</w:t>
      </w:r>
      <w:r w:rsidR="008D1F2A" w:rsidRPr="004A32F5">
        <w:t>omissão e anexadas ao texto final;</w:t>
      </w:r>
    </w:p>
    <w:p w:rsidR="002F518B" w:rsidRPr="004A32F5" w:rsidRDefault="002F518B" w:rsidP="00276249">
      <w:pPr>
        <w:pStyle w:val="PargrafodaLista"/>
        <w:jc w:val="both"/>
      </w:pPr>
    </w:p>
    <w:p w:rsidR="00A16AD0" w:rsidRPr="004A32F5" w:rsidRDefault="00A16AD0" w:rsidP="00276249">
      <w:pPr>
        <w:pStyle w:val="PargrafodaLista"/>
        <w:jc w:val="both"/>
      </w:pPr>
      <w:r w:rsidRPr="004A32F5">
        <w:t xml:space="preserve">VI – </w:t>
      </w:r>
      <w:proofErr w:type="gramStart"/>
      <w:r w:rsidR="002F518B" w:rsidRPr="004A32F5">
        <w:t>a</w:t>
      </w:r>
      <w:proofErr w:type="gramEnd"/>
      <w:r w:rsidRPr="004A32F5">
        <w:t xml:space="preserve"> prova, que será lida em sessão pública pelo candidato, deverá ser reproduzida em cópias que serão entregues aos membro</w:t>
      </w:r>
      <w:r w:rsidR="0090351B" w:rsidRPr="004A32F5">
        <w:t xml:space="preserve">s da </w:t>
      </w:r>
      <w:r w:rsidR="0038572B" w:rsidRPr="004A32F5">
        <w:t>c</w:t>
      </w:r>
      <w:r w:rsidR="0090351B" w:rsidRPr="004A32F5">
        <w:t xml:space="preserve">omissão </w:t>
      </w:r>
      <w:r w:rsidR="0038572B" w:rsidRPr="004A32F5">
        <w:t>j</w:t>
      </w:r>
      <w:r w:rsidR="0090351B" w:rsidRPr="004A32F5">
        <w:t>ulgadora, ao se abrir a sessão;</w:t>
      </w:r>
    </w:p>
    <w:p w:rsidR="002F518B" w:rsidRPr="004A32F5" w:rsidRDefault="002F518B" w:rsidP="00276249">
      <w:pPr>
        <w:pStyle w:val="PargrafodaLista"/>
        <w:jc w:val="both"/>
      </w:pPr>
    </w:p>
    <w:p w:rsidR="008D1F2A" w:rsidRPr="004A32F5" w:rsidRDefault="008D1F2A" w:rsidP="00276249">
      <w:pPr>
        <w:pStyle w:val="PargrafodaLista"/>
        <w:jc w:val="both"/>
      </w:pPr>
      <w:r w:rsidRPr="004A32F5">
        <w:t>VI</w:t>
      </w:r>
      <w:r w:rsidR="0090351B" w:rsidRPr="004A32F5">
        <w:t>I</w:t>
      </w:r>
      <w:r w:rsidRPr="004A32F5">
        <w:t xml:space="preserve"> – </w:t>
      </w:r>
      <w:r w:rsidR="002F518B" w:rsidRPr="004A32F5">
        <w:t>c</w:t>
      </w:r>
      <w:r w:rsidRPr="004A32F5">
        <w:t>ada prova será avaliada, individualmente, pelo</w:t>
      </w:r>
      <w:r w:rsidR="0038572B" w:rsidRPr="004A32F5">
        <w:t>s membros da comissão julgadora;</w:t>
      </w:r>
      <w:r w:rsidRPr="004A32F5">
        <w:t xml:space="preserve"> </w:t>
      </w:r>
    </w:p>
    <w:p w:rsidR="002F518B" w:rsidRPr="004A32F5" w:rsidRDefault="002F518B" w:rsidP="00276249">
      <w:pPr>
        <w:pStyle w:val="PargrafodaLista"/>
        <w:jc w:val="both"/>
      </w:pPr>
    </w:p>
    <w:p w:rsidR="005676AD" w:rsidRPr="004A32F5" w:rsidRDefault="00CC58B1" w:rsidP="00276249">
      <w:pPr>
        <w:pStyle w:val="PargrafodaLista"/>
        <w:jc w:val="both"/>
      </w:pPr>
      <w:r w:rsidRPr="004A32F5">
        <w:t>VII</w:t>
      </w:r>
      <w:r w:rsidR="002F518B" w:rsidRPr="004A32F5">
        <w:t>I – s</w:t>
      </w:r>
      <w:r w:rsidR="005676AD" w:rsidRPr="004A32F5">
        <w:t xml:space="preserve">erão considerados habilitados para a 2ª fase os candidatos que obtiverem, da maioria dos membros da </w:t>
      </w:r>
      <w:r w:rsidR="00A23478" w:rsidRPr="004A32F5">
        <w:t>c</w:t>
      </w:r>
      <w:r w:rsidR="005676AD" w:rsidRPr="004A32F5">
        <w:t xml:space="preserve">omissão </w:t>
      </w:r>
      <w:r w:rsidR="00A23478" w:rsidRPr="004A32F5">
        <w:t>j</w:t>
      </w:r>
      <w:r w:rsidR="005676AD" w:rsidRPr="004A32F5">
        <w:t>ulgadora, nota mínima sete;</w:t>
      </w:r>
    </w:p>
    <w:p w:rsidR="002F518B" w:rsidRPr="004A32F5" w:rsidRDefault="002F518B" w:rsidP="00276249">
      <w:pPr>
        <w:pStyle w:val="PargrafodaLista"/>
        <w:jc w:val="both"/>
      </w:pPr>
    </w:p>
    <w:p w:rsidR="005676AD" w:rsidRPr="004A32F5" w:rsidRDefault="00CC58B1" w:rsidP="00276249">
      <w:pPr>
        <w:pStyle w:val="PargrafodaLista"/>
        <w:jc w:val="both"/>
      </w:pPr>
      <w:r w:rsidRPr="004A32F5">
        <w:t>I</w:t>
      </w:r>
      <w:r w:rsidR="002F518B" w:rsidRPr="004A32F5">
        <w:t xml:space="preserve">X – </w:t>
      </w:r>
      <w:proofErr w:type="gramStart"/>
      <w:r w:rsidR="002F518B" w:rsidRPr="004A32F5">
        <w:t>a</w:t>
      </w:r>
      <w:proofErr w:type="gramEnd"/>
      <w:r w:rsidR="00A23478" w:rsidRPr="004A32F5">
        <w:t xml:space="preserve"> comissão j</w:t>
      </w:r>
      <w:r w:rsidR="005676AD" w:rsidRPr="004A32F5">
        <w:t>ulgadora apresentará, em sessão pública, as notas recebidas pelos candidatos.</w:t>
      </w:r>
    </w:p>
    <w:p w:rsidR="000913D4" w:rsidRPr="004A32F5" w:rsidRDefault="000913D4" w:rsidP="00276249">
      <w:pPr>
        <w:pStyle w:val="PargrafodaLista"/>
        <w:jc w:val="both"/>
      </w:pPr>
    </w:p>
    <w:p w:rsidR="000913D4" w:rsidRPr="004A32F5" w:rsidRDefault="000913D4" w:rsidP="000913D4">
      <w:pPr>
        <w:pStyle w:val="PargrafodaLista"/>
        <w:numPr>
          <w:ilvl w:val="0"/>
          <w:numId w:val="1"/>
        </w:numPr>
        <w:jc w:val="both"/>
      </w:pPr>
      <w:r w:rsidRPr="004A32F5">
        <w:t>Participarão da segunda fase somente os candidatos aprovados na primeira fase.</w:t>
      </w:r>
    </w:p>
    <w:p w:rsidR="005676AD" w:rsidRDefault="005676AD" w:rsidP="005676AD">
      <w:pPr>
        <w:ind w:left="360"/>
        <w:jc w:val="both"/>
      </w:pPr>
      <w:r w:rsidRPr="004A32F5">
        <w:t>II – Segunda fase: PRO</w:t>
      </w:r>
      <w:r w:rsidR="00EB6EDB" w:rsidRPr="004A32F5">
        <w:t>VA PÚBLICA DE ARG</w:t>
      </w:r>
      <w:r w:rsidRPr="004A32F5">
        <w:t>UIÇÃO E JULGAMENTO DO MEMORIAL E PROVA DIDÁTICA</w:t>
      </w:r>
      <w:r w:rsidR="00AB0D06">
        <w:t>.</w:t>
      </w:r>
    </w:p>
    <w:p w:rsidR="00AB0D06" w:rsidRDefault="00EB6EDB" w:rsidP="00AB0D06">
      <w:pPr>
        <w:pStyle w:val="PargrafodaLista"/>
        <w:ind w:left="505"/>
        <w:jc w:val="both"/>
        <w:rPr>
          <w:b/>
          <w:u w:val="single"/>
        </w:rPr>
      </w:pPr>
      <w:r w:rsidRPr="00AB0D06">
        <w:rPr>
          <w:b/>
          <w:u w:val="single"/>
        </w:rPr>
        <w:t>PROVA PÚBLICA DE ARG</w:t>
      </w:r>
      <w:r w:rsidR="000913D4" w:rsidRPr="00AB0D06">
        <w:rPr>
          <w:b/>
          <w:u w:val="single"/>
        </w:rPr>
        <w:t>UIÇÃO E JULGAMENTO DO MEMORIAL</w:t>
      </w:r>
    </w:p>
    <w:p w:rsidR="00385ABB" w:rsidRDefault="00385ABB" w:rsidP="00AB0D06">
      <w:pPr>
        <w:pStyle w:val="PargrafodaLista"/>
        <w:ind w:left="505"/>
        <w:jc w:val="both"/>
        <w:rPr>
          <w:b/>
          <w:u w:val="single"/>
        </w:rPr>
      </w:pPr>
    </w:p>
    <w:p w:rsidR="00F31AD6" w:rsidRPr="004A32F5" w:rsidRDefault="00F31AD6" w:rsidP="00AB0D06">
      <w:pPr>
        <w:pStyle w:val="PargrafodaLista"/>
        <w:numPr>
          <w:ilvl w:val="0"/>
          <w:numId w:val="1"/>
        </w:numPr>
        <w:ind w:left="505"/>
        <w:jc w:val="both"/>
      </w:pPr>
      <w:r w:rsidRPr="004A32F5">
        <w:t>O julgamento do memorial, expresso mediante nota global, incluindo arguição e avaliação, deverá refletir o mérito do candidato.</w:t>
      </w:r>
    </w:p>
    <w:p w:rsidR="00F31AD6" w:rsidRPr="004A32F5" w:rsidRDefault="00F31AD6" w:rsidP="00CC58B1">
      <w:pPr>
        <w:spacing w:after="0"/>
        <w:ind w:firstLine="357"/>
      </w:pPr>
      <w:r w:rsidRPr="004A32F5">
        <w:t xml:space="preserve">Parágrafo único – No julgamento do memorial, a </w:t>
      </w:r>
      <w:r w:rsidR="00A23478" w:rsidRPr="004A32F5">
        <w:t>c</w:t>
      </w:r>
      <w:r w:rsidRPr="004A32F5">
        <w:t>omissão apreciará:</w:t>
      </w:r>
    </w:p>
    <w:p w:rsidR="00F31AD6" w:rsidRPr="004A32F5" w:rsidRDefault="00EB6EDB" w:rsidP="00F31AD6">
      <w:pPr>
        <w:pStyle w:val="PargrafodaLista"/>
      </w:pPr>
      <w:r w:rsidRPr="004A32F5">
        <w:t xml:space="preserve">I – </w:t>
      </w:r>
      <w:proofErr w:type="gramStart"/>
      <w:r w:rsidRPr="004A32F5">
        <w:t>p</w:t>
      </w:r>
      <w:r w:rsidR="00F31AD6" w:rsidRPr="004A32F5">
        <w:t>rodução</w:t>
      </w:r>
      <w:proofErr w:type="gramEnd"/>
      <w:r w:rsidR="00F31AD6" w:rsidRPr="004A32F5">
        <w:t xml:space="preserve"> científica, literária, filosófica ou artística;</w:t>
      </w:r>
    </w:p>
    <w:p w:rsidR="00F31AD6" w:rsidRPr="004A32F5" w:rsidRDefault="00F31AD6" w:rsidP="00F31AD6">
      <w:pPr>
        <w:pStyle w:val="PargrafodaLista"/>
      </w:pPr>
      <w:r w:rsidRPr="004A32F5">
        <w:t xml:space="preserve">II – </w:t>
      </w:r>
      <w:proofErr w:type="gramStart"/>
      <w:r w:rsidR="00EB6EDB" w:rsidRPr="004A32F5">
        <w:t>a</w:t>
      </w:r>
      <w:r w:rsidRPr="004A32F5">
        <w:t>tividade</w:t>
      </w:r>
      <w:proofErr w:type="gramEnd"/>
      <w:r w:rsidRPr="004A32F5">
        <w:t xml:space="preserve"> didática universitária;</w:t>
      </w:r>
    </w:p>
    <w:p w:rsidR="00F31AD6" w:rsidRPr="004A32F5" w:rsidRDefault="00EB6EDB" w:rsidP="00F31AD6">
      <w:pPr>
        <w:pStyle w:val="PargrafodaLista"/>
      </w:pPr>
      <w:r w:rsidRPr="004A32F5">
        <w:t>III – a</w:t>
      </w:r>
      <w:r w:rsidR="00F31AD6" w:rsidRPr="004A32F5">
        <w:t>tividades relacionadas à prestação de serviços à comunidade;</w:t>
      </w:r>
    </w:p>
    <w:p w:rsidR="00F31AD6" w:rsidRPr="004A32F5" w:rsidRDefault="00EB6EDB" w:rsidP="00F31AD6">
      <w:pPr>
        <w:pStyle w:val="PargrafodaLista"/>
      </w:pPr>
      <w:r w:rsidRPr="004A32F5">
        <w:t xml:space="preserve">IV – </w:t>
      </w:r>
      <w:proofErr w:type="gramStart"/>
      <w:r w:rsidRPr="004A32F5">
        <w:t>a</w:t>
      </w:r>
      <w:r w:rsidR="00F31AD6" w:rsidRPr="004A32F5">
        <w:t>tividades</w:t>
      </w:r>
      <w:proofErr w:type="gramEnd"/>
      <w:r w:rsidR="00F31AD6" w:rsidRPr="004A32F5">
        <w:t xml:space="preserve"> profissionais ou outras, quando for o caso;</w:t>
      </w:r>
    </w:p>
    <w:p w:rsidR="00F31AD6" w:rsidRPr="004A32F5" w:rsidRDefault="00672A69" w:rsidP="00F31AD6">
      <w:pPr>
        <w:pStyle w:val="PargrafodaLista"/>
      </w:pPr>
      <w:r w:rsidRPr="004A32F5">
        <w:t xml:space="preserve">V - </w:t>
      </w:r>
      <w:proofErr w:type="gramStart"/>
      <w:r w:rsidR="00EB6EDB" w:rsidRPr="004A32F5">
        <w:t>d</w:t>
      </w:r>
      <w:r w:rsidR="00F31AD6" w:rsidRPr="004A32F5">
        <w:t>iplomas</w:t>
      </w:r>
      <w:proofErr w:type="gramEnd"/>
      <w:r w:rsidR="00F31AD6" w:rsidRPr="004A32F5">
        <w:t xml:space="preserve"> e outras dignidades universitárias.</w:t>
      </w:r>
    </w:p>
    <w:p w:rsidR="00CC58B1" w:rsidRPr="004A32F5" w:rsidRDefault="00CC58B1" w:rsidP="00F31AD6">
      <w:pPr>
        <w:pStyle w:val="PargrafodaLista"/>
      </w:pPr>
    </w:p>
    <w:p w:rsidR="004C62FD" w:rsidRPr="00AB0D06" w:rsidRDefault="004C62FD" w:rsidP="001C19EA">
      <w:pPr>
        <w:ind w:left="502"/>
        <w:rPr>
          <w:b/>
          <w:u w:val="single"/>
        </w:rPr>
      </w:pPr>
      <w:r w:rsidRPr="00AB0D06">
        <w:rPr>
          <w:b/>
          <w:u w:val="single"/>
        </w:rPr>
        <w:t xml:space="preserve">PROVA DIDÁTICA </w:t>
      </w:r>
    </w:p>
    <w:p w:rsidR="00F31AD6" w:rsidRPr="004A32F5" w:rsidRDefault="00F31AD6" w:rsidP="00276249">
      <w:pPr>
        <w:pStyle w:val="PargrafodaLista"/>
        <w:numPr>
          <w:ilvl w:val="0"/>
          <w:numId w:val="1"/>
        </w:numPr>
        <w:jc w:val="both"/>
      </w:pPr>
      <w:r w:rsidRPr="004A32F5">
        <w:t xml:space="preserve">A prova didática será pública, com a duração mínima de quarenta e máxima de sessenta minutos, e versará sobre o </w:t>
      </w:r>
      <w:r w:rsidR="00110866" w:rsidRPr="004A32F5">
        <w:t xml:space="preserve">programa </w:t>
      </w:r>
      <w:r w:rsidR="00453CFE" w:rsidRPr="004A32F5">
        <w:t xml:space="preserve">da área de conhecimento acima mencionada, </w:t>
      </w:r>
      <w:r w:rsidRPr="004A32F5">
        <w:t>nos termos do artigo 137 do Regimento Geral da USP.</w:t>
      </w:r>
    </w:p>
    <w:p w:rsidR="00EB7605" w:rsidRPr="004A32F5" w:rsidRDefault="00CB3346" w:rsidP="00276249">
      <w:pPr>
        <w:pStyle w:val="PargrafodaLista"/>
        <w:jc w:val="both"/>
      </w:pPr>
      <w:r w:rsidRPr="004A32F5">
        <w:t xml:space="preserve">I – </w:t>
      </w:r>
      <w:proofErr w:type="gramStart"/>
      <w:r w:rsidRPr="004A32F5">
        <w:t>a</w:t>
      </w:r>
      <w:proofErr w:type="gramEnd"/>
      <w:r w:rsidR="00A23478" w:rsidRPr="004A32F5">
        <w:t xml:space="preserve"> c</w:t>
      </w:r>
      <w:r w:rsidR="00EB7605" w:rsidRPr="004A32F5">
        <w:t xml:space="preserve">omissão </w:t>
      </w:r>
      <w:r w:rsidR="00A23478" w:rsidRPr="004A32F5">
        <w:t>j</w:t>
      </w:r>
      <w:r w:rsidR="00231403" w:rsidRPr="004A32F5">
        <w:t xml:space="preserve">ulgadora, com base no programa do concurso, organizará </w:t>
      </w:r>
      <w:r w:rsidR="00EB7605" w:rsidRPr="004A32F5">
        <w:t>uma lista de dez pontos,</w:t>
      </w:r>
      <w:r w:rsidR="00231403" w:rsidRPr="004A32F5">
        <w:t xml:space="preserve"> da qual os candidatos tomarão conhecimento imediatamente antes do sorteio do ponto;</w:t>
      </w:r>
    </w:p>
    <w:p w:rsidR="00231403" w:rsidRPr="004A32F5" w:rsidRDefault="00EB7605" w:rsidP="00276249">
      <w:pPr>
        <w:ind w:left="708"/>
        <w:jc w:val="both"/>
      </w:pPr>
      <w:r w:rsidRPr="004A32F5">
        <w:lastRenderedPageBreak/>
        <w:t xml:space="preserve">II - </w:t>
      </w:r>
      <w:proofErr w:type="gramStart"/>
      <w:r w:rsidR="00CB3346" w:rsidRPr="004A32F5">
        <w:t>o</w:t>
      </w:r>
      <w:proofErr w:type="gramEnd"/>
      <w:r w:rsidR="00231403" w:rsidRPr="004A32F5">
        <w:t xml:space="preserve"> candidato poderá propor a substituição d</w:t>
      </w:r>
      <w:r w:rsidR="00BE76B0" w:rsidRPr="004A32F5">
        <w:t>e</w:t>
      </w:r>
      <w:r w:rsidR="00231403" w:rsidRPr="004A32F5">
        <w:t xml:space="preserve"> pontos, imediatamente após tomar conhecimento de seus enunciados, se entender que não pertencem ao programa do concurso, cabendo à comissão julgadora decidir, de plano, sobre a procedência da alegação;</w:t>
      </w:r>
    </w:p>
    <w:p w:rsidR="00EB7605" w:rsidRPr="004A32F5" w:rsidRDefault="00EB7605" w:rsidP="00276249">
      <w:pPr>
        <w:ind w:left="708"/>
        <w:jc w:val="both"/>
      </w:pPr>
      <w:r w:rsidRPr="004A32F5">
        <w:t xml:space="preserve">III – </w:t>
      </w:r>
      <w:r w:rsidR="00CB3346" w:rsidRPr="004A32F5">
        <w:t>o</w:t>
      </w:r>
      <w:r w:rsidR="00231403" w:rsidRPr="004A32F5">
        <w:t xml:space="preserve"> sorteio do ponto será feito </w:t>
      </w:r>
      <w:r w:rsidR="008975C3" w:rsidRPr="004A32F5">
        <w:t>vinte e quatro</w:t>
      </w:r>
      <w:r w:rsidR="00231403" w:rsidRPr="004A32F5">
        <w:t xml:space="preserve"> horas antes da realização da prova didática, sendo vedado ao candidato </w:t>
      </w:r>
      <w:r w:rsidR="00453CFE" w:rsidRPr="004A32F5">
        <w:t xml:space="preserve">renunciar a </w:t>
      </w:r>
      <w:r w:rsidR="00231403" w:rsidRPr="004A32F5">
        <w:t>esse prazo</w:t>
      </w:r>
      <w:r w:rsidRPr="004A32F5">
        <w:t>;</w:t>
      </w:r>
    </w:p>
    <w:p w:rsidR="00EB7605" w:rsidRPr="004A32F5" w:rsidRDefault="00231403" w:rsidP="00EB7605">
      <w:pPr>
        <w:pStyle w:val="PargrafodaLista"/>
      </w:pPr>
      <w:r w:rsidRPr="004A32F5">
        <w:t>I</w:t>
      </w:r>
      <w:r w:rsidR="00EB7605" w:rsidRPr="004A32F5">
        <w:t xml:space="preserve">V – </w:t>
      </w:r>
      <w:proofErr w:type="gramStart"/>
      <w:r w:rsidR="00CB3346" w:rsidRPr="004A32F5">
        <w:t>o</w:t>
      </w:r>
      <w:proofErr w:type="gramEnd"/>
      <w:r w:rsidRPr="004A32F5">
        <w:t xml:space="preserve"> candidato poderá utilizar o material didático que julgar necessário</w:t>
      </w:r>
      <w:r w:rsidR="00EB7605" w:rsidRPr="004A32F5">
        <w:t>;</w:t>
      </w:r>
    </w:p>
    <w:p w:rsidR="00231403" w:rsidRPr="004A32F5" w:rsidRDefault="00231403" w:rsidP="00EB7605">
      <w:pPr>
        <w:pStyle w:val="PargrafodaLista"/>
      </w:pPr>
    </w:p>
    <w:p w:rsidR="00EB7605" w:rsidRPr="004A32F5" w:rsidRDefault="00EB7605" w:rsidP="00276249">
      <w:pPr>
        <w:pStyle w:val="PargrafodaLista"/>
        <w:jc w:val="both"/>
      </w:pPr>
      <w:r w:rsidRPr="004A32F5">
        <w:t xml:space="preserve">V – </w:t>
      </w:r>
      <w:proofErr w:type="gramStart"/>
      <w:r w:rsidR="00CB3346" w:rsidRPr="004A32F5">
        <w:t>s</w:t>
      </w:r>
      <w:r w:rsidR="00231403" w:rsidRPr="004A32F5">
        <w:t>e</w:t>
      </w:r>
      <w:proofErr w:type="gramEnd"/>
      <w:r w:rsidR="00231403" w:rsidRPr="004A32F5">
        <w:t xml:space="preserve"> o número de candidatos o exigir, eles serão divididos em grupos de, no máximo, três, observada a ordem de inscrição, para fins de sorteio e realização da prova</w:t>
      </w:r>
      <w:r w:rsidRPr="004A32F5">
        <w:t xml:space="preserve">. </w:t>
      </w:r>
    </w:p>
    <w:p w:rsidR="00F31AD6" w:rsidRPr="004A32F5" w:rsidRDefault="00F31AD6" w:rsidP="00F31AD6">
      <w:pPr>
        <w:pStyle w:val="PargrafodaLista"/>
      </w:pPr>
    </w:p>
    <w:p w:rsidR="00BE3164" w:rsidRPr="00AB0D06" w:rsidRDefault="00BE3164" w:rsidP="001C19EA">
      <w:pPr>
        <w:ind w:left="502"/>
        <w:rPr>
          <w:b/>
          <w:u w:val="single"/>
        </w:rPr>
      </w:pPr>
      <w:r w:rsidRPr="00AB0D06">
        <w:rPr>
          <w:b/>
          <w:u w:val="single"/>
        </w:rPr>
        <w:t>JULGAMENTO DA 2ª FASE</w:t>
      </w:r>
    </w:p>
    <w:p w:rsidR="00005BEA" w:rsidRPr="004A32F5" w:rsidRDefault="00005BEA" w:rsidP="00276249">
      <w:pPr>
        <w:pStyle w:val="PargrafodaLista"/>
        <w:numPr>
          <w:ilvl w:val="0"/>
          <w:numId w:val="1"/>
        </w:numPr>
        <w:jc w:val="both"/>
      </w:pPr>
      <w:r w:rsidRPr="004A32F5">
        <w:t xml:space="preserve">Ao término </w:t>
      </w:r>
      <w:r w:rsidR="005D7416" w:rsidRPr="004A32F5">
        <w:t xml:space="preserve">da apreciação </w:t>
      </w:r>
      <w:r w:rsidRPr="004A32F5">
        <w:t>das provas, cada candidato terá de cada examinador uma nota final que será a média ponderada das notas por ele conferida</w:t>
      </w:r>
      <w:r w:rsidR="004758D3" w:rsidRPr="004A32F5">
        <w:t>s nas duas fases, observados os</w:t>
      </w:r>
      <w:r w:rsidR="004E1A01" w:rsidRPr="004A32F5">
        <w:t xml:space="preserve"> p</w:t>
      </w:r>
      <w:r w:rsidRPr="004A32F5">
        <w:t>esos</w:t>
      </w:r>
      <w:r w:rsidR="004758D3" w:rsidRPr="004A32F5">
        <w:t xml:space="preserve"> mencionados no item </w:t>
      </w:r>
      <w:r w:rsidR="00BE3164" w:rsidRPr="004A32F5">
        <w:t>3</w:t>
      </w:r>
      <w:r w:rsidR="004E1A01" w:rsidRPr="004A32F5">
        <w:t>.</w:t>
      </w:r>
    </w:p>
    <w:p w:rsidR="00AC27D2" w:rsidRPr="004A32F5" w:rsidRDefault="00AC27D2" w:rsidP="00AC27D2">
      <w:pPr>
        <w:pStyle w:val="PargrafodaLista"/>
      </w:pPr>
    </w:p>
    <w:p w:rsidR="00AC27D2" w:rsidRPr="004A32F5" w:rsidRDefault="00AC27D2" w:rsidP="00276249">
      <w:pPr>
        <w:pStyle w:val="PargrafodaLista"/>
        <w:numPr>
          <w:ilvl w:val="0"/>
          <w:numId w:val="1"/>
        </w:numPr>
        <w:jc w:val="both"/>
      </w:pPr>
      <w:r w:rsidRPr="004A32F5">
        <w:t>As notas das provas poderão variar de zero a dez, com aproximação até a primeira casa decimal.</w:t>
      </w:r>
    </w:p>
    <w:p w:rsidR="00BE3164" w:rsidRPr="004A32F5" w:rsidRDefault="00BE3164" w:rsidP="00BE3164">
      <w:pPr>
        <w:pStyle w:val="PargrafodaLista"/>
      </w:pPr>
    </w:p>
    <w:p w:rsidR="00BE3164" w:rsidRPr="004A32F5" w:rsidRDefault="00BE3164" w:rsidP="00BE3164">
      <w:pPr>
        <w:pStyle w:val="PargrafodaLista"/>
        <w:numPr>
          <w:ilvl w:val="0"/>
          <w:numId w:val="1"/>
        </w:numPr>
        <w:jc w:val="both"/>
      </w:pPr>
      <w:r w:rsidRPr="004A32F5">
        <w:t xml:space="preserve">A nota obtida pelo candidato aprovado na prova escrita irá compor a média final da segunda fase, com peso </w:t>
      </w:r>
      <w:r w:rsidR="00FF76B2">
        <w:t>2</w:t>
      </w:r>
      <w:r w:rsidRPr="004A32F5">
        <w:t>.</w:t>
      </w:r>
    </w:p>
    <w:p w:rsidR="00BE3164" w:rsidRPr="004A32F5" w:rsidRDefault="00BE3164" w:rsidP="006734A7">
      <w:pPr>
        <w:pStyle w:val="PargrafodaLista"/>
      </w:pPr>
    </w:p>
    <w:p w:rsidR="006734A7" w:rsidRPr="004A32F5" w:rsidRDefault="006734A7" w:rsidP="00276249">
      <w:pPr>
        <w:pStyle w:val="PargrafodaLista"/>
        <w:numPr>
          <w:ilvl w:val="0"/>
          <w:numId w:val="1"/>
        </w:numPr>
        <w:jc w:val="both"/>
      </w:pPr>
      <w:r w:rsidRPr="004A32F5">
        <w:t>O resultado do</w:t>
      </w:r>
      <w:r w:rsidR="00FE2E12" w:rsidRPr="004A32F5">
        <w:t xml:space="preserve"> concurso será proclamado pela c</w:t>
      </w:r>
      <w:r w:rsidRPr="004A32F5">
        <w:t xml:space="preserve">omissão </w:t>
      </w:r>
      <w:r w:rsidR="00FE2E12" w:rsidRPr="004A32F5">
        <w:t>j</w:t>
      </w:r>
      <w:r w:rsidRPr="004A32F5">
        <w:t>ulgadora imediatamente após seu término, em sessão pública.</w:t>
      </w:r>
    </w:p>
    <w:p w:rsidR="00E84E36" w:rsidRPr="004A32F5" w:rsidRDefault="00E84E36" w:rsidP="00E84E36">
      <w:pPr>
        <w:pStyle w:val="PargrafodaLista"/>
      </w:pPr>
    </w:p>
    <w:p w:rsidR="00E84E36" w:rsidRPr="004A32F5" w:rsidRDefault="002026A4" w:rsidP="00276249">
      <w:pPr>
        <w:pStyle w:val="PargrafodaLista"/>
        <w:numPr>
          <w:ilvl w:val="0"/>
          <w:numId w:val="1"/>
        </w:numPr>
        <w:jc w:val="both"/>
      </w:pPr>
      <w:r w:rsidRPr="004A32F5">
        <w:t xml:space="preserve">Serão considerados habilitados os candidatos que </w:t>
      </w:r>
      <w:r w:rsidR="00FE2E12" w:rsidRPr="004A32F5">
        <w:t>obtiver</w:t>
      </w:r>
      <w:r w:rsidRPr="004A32F5">
        <w:t>em, da maioria dos examinadores, nota final mínima sete</w:t>
      </w:r>
      <w:r w:rsidR="00BE3164" w:rsidRPr="004A32F5">
        <w:t>.</w:t>
      </w:r>
    </w:p>
    <w:p w:rsidR="00536E12" w:rsidRPr="004A32F5" w:rsidRDefault="00536E12" w:rsidP="00536E12">
      <w:pPr>
        <w:pStyle w:val="PargrafodaLista"/>
      </w:pPr>
    </w:p>
    <w:p w:rsidR="008975C3" w:rsidRPr="004A32F5" w:rsidRDefault="008975C3" w:rsidP="00276249">
      <w:pPr>
        <w:pStyle w:val="PargrafodaLista"/>
        <w:numPr>
          <w:ilvl w:val="0"/>
          <w:numId w:val="1"/>
        </w:numPr>
        <w:jc w:val="both"/>
      </w:pPr>
      <w:r w:rsidRPr="004A32F5">
        <w:t xml:space="preserve">A </w:t>
      </w:r>
      <w:r w:rsidR="00FE2E12" w:rsidRPr="004A32F5">
        <w:t>indi</w:t>
      </w:r>
      <w:r w:rsidRPr="004A32F5">
        <w:t>cação dos candidatos será feita por examinador, segundo as notas por ele conferidas.</w:t>
      </w:r>
    </w:p>
    <w:p w:rsidR="006734A7" w:rsidRPr="004A32F5" w:rsidRDefault="006734A7" w:rsidP="006734A7">
      <w:pPr>
        <w:pStyle w:val="PargrafodaLista"/>
      </w:pPr>
    </w:p>
    <w:p w:rsidR="00BB4EA9" w:rsidRDefault="00BB4EA9" w:rsidP="00276249">
      <w:pPr>
        <w:pStyle w:val="PargrafodaLista"/>
        <w:numPr>
          <w:ilvl w:val="0"/>
          <w:numId w:val="1"/>
        </w:numPr>
        <w:jc w:val="both"/>
      </w:pPr>
      <w:r w:rsidRPr="004A32F5">
        <w:t>Será proposto para nomeação o candidato que obtiver o maior número de indicações da comissão julgadora.</w:t>
      </w:r>
    </w:p>
    <w:p w:rsidR="00AF5ED7" w:rsidRDefault="00AF5ED7" w:rsidP="00AF5ED7">
      <w:pPr>
        <w:pStyle w:val="PargrafodaLista"/>
      </w:pPr>
    </w:p>
    <w:p w:rsidR="006734A7" w:rsidRDefault="00AF5ED7" w:rsidP="006734A7">
      <w:pPr>
        <w:pStyle w:val="PargrafodaLista"/>
        <w:numPr>
          <w:ilvl w:val="0"/>
          <w:numId w:val="1"/>
        </w:numPr>
        <w:jc w:val="both"/>
      </w:pPr>
      <w:r>
        <w:t>A posse do candidato indicado ficará sujeita à aprovação em exame médico realizado pelo Departamento de Perícias Médicas do Estado – DPME, nos termos do Artigo 47, VI da Lei nº 10.261/68.</w:t>
      </w:r>
    </w:p>
    <w:p w:rsidR="00AF5ED7" w:rsidRPr="004A32F5" w:rsidRDefault="00AF5ED7" w:rsidP="006734A7">
      <w:pPr>
        <w:pStyle w:val="PargrafodaLista"/>
      </w:pPr>
    </w:p>
    <w:p w:rsidR="00CB3346" w:rsidRPr="004A32F5" w:rsidRDefault="00BF5FD6" w:rsidP="00276249">
      <w:pPr>
        <w:pStyle w:val="PargrafodaLista"/>
        <w:numPr>
          <w:ilvl w:val="0"/>
          <w:numId w:val="1"/>
        </w:numPr>
        <w:jc w:val="both"/>
      </w:pPr>
      <w:proofErr w:type="gramStart"/>
      <w:r w:rsidRPr="004A32F5">
        <w:t>A</w:t>
      </w:r>
      <w:r w:rsidR="00CB3346" w:rsidRPr="004A32F5">
        <w:t xml:space="preserve"> nomeação do docente aprovado </w:t>
      </w:r>
      <w:r w:rsidRPr="004A32F5">
        <w:t>no concurso</w:t>
      </w:r>
      <w:r w:rsidR="00CB3346" w:rsidRPr="004A32F5">
        <w:t>, assim como as demais providências decorrentes, serão</w:t>
      </w:r>
      <w:proofErr w:type="gramEnd"/>
      <w:r w:rsidR="00CB3346" w:rsidRPr="004A32F5">
        <w:t xml:space="preserve"> regidas pelos termos da Resolução 7271 de 2016.</w:t>
      </w:r>
    </w:p>
    <w:p w:rsidR="00CB3346" w:rsidRPr="004A32F5" w:rsidRDefault="00CB3346" w:rsidP="00CB3346">
      <w:pPr>
        <w:pStyle w:val="PargrafodaLista"/>
      </w:pPr>
    </w:p>
    <w:p w:rsidR="00CB3346" w:rsidRPr="004A32F5" w:rsidRDefault="00CB3346" w:rsidP="00276249">
      <w:pPr>
        <w:pStyle w:val="PargrafodaLista"/>
        <w:numPr>
          <w:ilvl w:val="0"/>
          <w:numId w:val="1"/>
        </w:numPr>
        <w:jc w:val="both"/>
      </w:pPr>
      <w:r w:rsidRPr="004A32F5">
        <w:t>O docente em RDIDP deverá manter vínculo empregatício exclusivo com a USP, nos termos do artigo 197 do Regimento Geral da USP.</w:t>
      </w:r>
    </w:p>
    <w:p w:rsidR="00FE2E12" w:rsidRPr="004A32F5" w:rsidRDefault="00FE2E12" w:rsidP="00FE2E12">
      <w:pPr>
        <w:pStyle w:val="PargrafodaLista"/>
      </w:pPr>
    </w:p>
    <w:p w:rsidR="004B1666" w:rsidRPr="004A32F5" w:rsidRDefault="004B1666" w:rsidP="00DF3754">
      <w:pPr>
        <w:pStyle w:val="PargrafodaLista"/>
        <w:numPr>
          <w:ilvl w:val="0"/>
          <w:numId w:val="1"/>
        </w:numPr>
        <w:jc w:val="both"/>
      </w:pPr>
      <w:r w:rsidRPr="004A32F5">
        <w:t xml:space="preserve">O </w:t>
      </w:r>
      <w:r w:rsidR="00BB4EA9" w:rsidRPr="004A32F5">
        <w:t>concurso terá validade imediata e será proposto para nomeação somente o candidato indicado para o cargo posto em concurso</w:t>
      </w:r>
      <w:r w:rsidRPr="004A32F5">
        <w:t>.</w:t>
      </w:r>
    </w:p>
    <w:p w:rsidR="00FE2E12" w:rsidRPr="004A32F5" w:rsidRDefault="00FE2E12" w:rsidP="00FE2E12">
      <w:pPr>
        <w:pStyle w:val="PargrafodaLista"/>
      </w:pPr>
    </w:p>
    <w:p w:rsidR="00FE2E12" w:rsidRPr="004A32F5" w:rsidRDefault="00FE2E12" w:rsidP="00DF3754">
      <w:pPr>
        <w:pStyle w:val="PargrafodaLista"/>
        <w:numPr>
          <w:ilvl w:val="0"/>
          <w:numId w:val="1"/>
        </w:numPr>
        <w:jc w:val="both"/>
      </w:pPr>
      <w:r w:rsidRPr="004A32F5">
        <w:t>O candidato será convocado para posse pelo Diário Oficial do Estado.</w:t>
      </w:r>
    </w:p>
    <w:p w:rsidR="009B66B6" w:rsidRPr="004A32F5" w:rsidRDefault="00E27C43" w:rsidP="00095812">
      <w:pPr>
        <w:ind w:left="360"/>
        <w:jc w:val="both"/>
      </w:pPr>
      <w:r w:rsidRPr="004A32F5">
        <w:t>Maiores informações, bem como as normas pertinentes ao concurso, encontram-se à disposição dos interessados na Assistência Técnica Acadêmi</w:t>
      </w:r>
      <w:r w:rsidR="00BE3164" w:rsidRPr="004A32F5">
        <w:t>ca d</w:t>
      </w:r>
      <w:r w:rsidR="004E4F26">
        <w:t xml:space="preserve">o Instituto de Ciências Biomédicas </w:t>
      </w:r>
      <w:r w:rsidR="00FE2E12" w:rsidRPr="004A32F5">
        <w:t>da Universidade de São Paulo, no endereço acima citado</w:t>
      </w:r>
      <w:r w:rsidR="004E4F26">
        <w:t xml:space="preserve">, na Home Page </w:t>
      </w:r>
      <w:hyperlink r:id="rId8" w:history="1">
        <w:r w:rsidR="001C19EA" w:rsidRPr="000E4F69">
          <w:rPr>
            <w:rStyle w:val="Hyperlink"/>
          </w:rPr>
          <w:t>https://ww2.icb.usp.br/con/editais-farmacologia/</w:t>
        </w:r>
      </w:hyperlink>
      <w:r w:rsidR="001C19EA">
        <w:t xml:space="preserve"> ou através do e-mail </w:t>
      </w:r>
      <w:hyperlink r:id="rId9" w:history="1">
        <w:r w:rsidR="001C19EA" w:rsidRPr="000E4F69">
          <w:rPr>
            <w:rStyle w:val="Hyperlink"/>
          </w:rPr>
          <w:t>acadcon@icb.usp.br</w:t>
        </w:r>
      </w:hyperlink>
      <w:r w:rsidR="001C19EA">
        <w:t xml:space="preserve"> ou pelo telefone </w:t>
      </w:r>
      <w:r w:rsidR="000B12BA">
        <w:t>+55</w:t>
      </w:r>
      <w:r w:rsidR="001C19EA">
        <w:t>11</w:t>
      </w:r>
      <w:r w:rsidR="000B12BA">
        <w:t xml:space="preserve"> (</w:t>
      </w:r>
      <w:r w:rsidR="001C19EA">
        <w:t>3091-7395</w:t>
      </w:r>
      <w:r w:rsidR="000B12BA">
        <w:t>)</w:t>
      </w:r>
      <w:r w:rsidR="001C19EA">
        <w:t>.</w:t>
      </w:r>
    </w:p>
    <w:sectPr w:rsidR="009B66B6" w:rsidRPr="004A3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3C7"/>
    <w:multiLevelType w:val="hybridMultilevel"/>
    <w:tmpl w:val="75CA3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353C"/>
    <w:multiLevelType w:val="hybridMultilevel"/>
    <w:tmpl w:val="DB305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151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7E02"/>
    <w:multiLevelType w:val="hybridMultilevel"/>
    <w:tmpl w:val="D374A1B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B83276"/>
    <w:multiLevelType w:val="hybridMultilevel"/>
    <w:tmpl w:val="F2F67DC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6"/>
    <w:rsid w:val="0000450F"/>
    <w:rsid w:val="00005BEA"/>
    <w:rsid w:val="0002553B"/>
    <w:rsid w:val="000670BB"/>
    <w:rsid w:val="0008178B"/>
    <w:rsid w:val="0008192F"/>
    <w:rsid w:val="000913D4"/>
    <w:rsid w:val="00092EF4"/>
    <w:rsid w:val="00095812"/>
    <w:rsid w:val="000B12BA"/>
    <w:rsid w:val="000F611A"/>
    <w:rsid w:val="0010558E"/>
    <w:rsid w:val="00110866"/>
    <w:rsid w:val="00146D40"/>
    <w:rsid w:val="00150B60"/>
    <w:rsid w:val="00166A44"/>
    <w:rsid w:val="00176E82"/>
    <w:rsid w:val="0018404C"/>
    <w:rsid w:val="001C19EA"/>
    <w:rsid w:val="001C2685"/>
    <w:rsid w:val="00201B27"/>
    <w:rsid w:val="002026A4"/>
    <w:rsid w:val="00231403"/>
    <w:rsid w:val="00233258"/>
    <w:rsid w:val="002501C3"/>
    <w:rsid w:val="002502AC"/>
    <w:rsid w:val="002654F7"/>
    <w:rsid w:val="00276249"/>
    <w:rsid w:val="002A73FD"/>
    <w:rsid w:val="002B73C4"/>
    <w:rsid w:val="002E2F3E"/>
    <w:rsid w:val="002E6E24"/>
    <w:rsid w:val="002F1837"/>
    <w:rsid w:val="002F518B"/>
    <w:rsid w:val="00303619"/>
    <w:rsid w:val="00347B42"/>
    <w:rsid w:val="00364ACF"/>
    <w:rsid w:val="003660F2"/>
    <w:rsid w:val="0037113F"/>
    <w:rsid w:val="00385555"/>
    <w:rsid w:val="0038572B"/>
    <w:rsid w:val="00385ABB"/>
    <w:rsid w:val="00386483"/>
    <w:rsid w:val="00394BA2"/>
    <w:rsid w:val="00394C62"/>
    <w:rsid w:val="003D5D71"/>
    <w:rsid w:val="004176B2"/>
    <w:rsid w:val="00424A97"/>
    <w:rsid w:val="00433DF0"/>
    <w:rsid w:val="0043559F"/>
    <w:rsid w:val="00441076"/>
    <w:rsid w:val="00453CFE"/>
    <w:rsid w:val="00465276"/>
    <w:rsid w:val="004723BB"/>
    <w:rsid w:val="004758D3"/>
    <w:rsid w:val="0048522C"/>
    <w:rsid w:val="004A32F5"/>
    <w:rsid w:val="004B1666"/>
    <w:rsid w:val="004B719C"/>
    <w:rsid w:val="004C62FD"/>
    <w:rsid w:val="004C7350"/>
    <w:rsid w:val="004D6274"/>
    <w:rsid w:val="004E1A01"/>
    <w:rsid w:val="004E4F26"/>
    <w:rsid w:val="005156F5"/>
    <w:rsid w:val="005250DE"/>
    <w:rsid w:val="00536E12"/>
    <w:rsid w:val="0054203C"/>
    <w:rsid w:val="005676AD"/>
    <w:rsid w:val="00592AD7"/>
    <w:rsid w:val="005A59A5"/>
    <w:rsid w:val="005B2B3D"/>
    <w:rsid w:val="005C1BAA"/>
    <w:rsid w:val="005C7AAD"/>
    <w:rsid w:val="005D7416"/>
    <w:rsid w:val="005F4CDD"/>
    <w:rsid w:val="00616375"/>
    <w:rsid w:val="00625407"/>
    <w:rsid w:val="006578CF"/>
    <w:rsid w:val="00672A69"/>
    <w:rsid w:val="006734A7"/>
    <w:rsid w:val="00687049"/>
    <w:rsid w:val="00693A06"/>
    <w:rsid w:val="006B78ED"/>
    <w:rsid w:val="006E4FA6"/>
    <w:rsid w:val="00716FB4"/>
    <w:rsid w:val="00727AF6"/>
    <w:rsid w:val="00767270"/>
    <w:rsid w:val="00774982"/>
    <w:rsid w:val="0079571C"/>
    <w:rsid w:val="007A0604"/>
    <w:rsid w:val="007A44CC"/>
    <w:rsid w:val="007A5776"/>
    <w:rsid w:val="008033DE"/>
    <w:rsid w:val="00821499"/>
    <w:rsid w:val="00855983"/>
    <w:rsid w:val="00870F51"/>
    <w:rsid w:val="00882C43"/>
    <w:rsid w:val="00883B11"/>
    <w:rsid w:val="0088554F"/>
    <w:rsid w:val="008975C3"/>
    <w:rsid w:val="008C5E4B"/>
    <w:rsid w:val="008D1F2A"/>
    <w:rsid w:val="008D4168"/>
    <w:rsid w:val="008D7D73"/>
    <w:rsid w:val="0090351B"/>
    <w:rsid w:val="00932900"/>
    <w:rsid w:val="0094061E"/>
    <w:rsid w:val="00946CE3"/>
    <w:rsid w:val="009550BF"/>
    <w:rsid w:val="00960B7D"/>
    <w:rsid w:val="009712CD"/>
    <w:rsid w:val="00975637"/>
    <w:rsid w:val="00983D38"/>
    <w:rsid w:val="009B66B6"/>
    <w:rsid w:val="009D1BF5"/>
    <w:rsid w:val="009F0567"/>
    <w:rsid w:val="00A0509A"/>
    <w:rsid w:val="00A16AD0"/>
    <w:rsid w:val="00A20B11"/>
    <w:rsid w:val="00A23478"/>
    <w:rsid w:val="00A43161"/>
    <w:rsid w:val="00A45E2A"/>
    <w:rsid w:val="00A77E5E"/>
    <w:rsid w:val="00AB0D06"/>
    <w:rsid w:val="00AB545B"/>
    <w:rsid w:val="00AC27D2"/>
    <w:rsid w:val="00AC2886"/>
    <w:rsid w:val="00AC72CB"/>
    <w:rsid w:val="00AF0826"/>
    <w:rsid w:val="00AF34EF"/>
    <w:rsid w:val="00AF5ED7"/>
    <w:rsid w:val="00B01E12"/>
    <w:rsid w:val="00B221BF"/>
    <w:rsid w:val="00B90093"/>
    <w:rsid w:val="00BB4EA9"/>
    <w:rsid w:val="00BB7577"/>
    <w:rsid w:val="00BC592E"/>
    <w:rsid w:val="00BE3164"/>
    <w:rsid w:val="00BE76B0"/>
    <w:rsid w:val="00BE7938"/>
    <w:rsid w:val="00BF5FD6"/>
    <w:rsid w:val="00C004BE"/>
    <w:rsid w:val="00C01029"/>
    <w:rsid w:val="00C377AD"/>
    <w:rsid w:val="00C46E97"/>
    <w:rsid w:val="00C470C2"/>
    <w:rsid w:val="00C563EA"/>
    <w:rsid w:val="00C56AA4"/>
    <w:rsid w:val="00C630F4"/>
    <w:rsid w:val="00C74895"/>
    <w:rsid w:val="00CB1E73"/>
    <w:rsid w:val="00CB3346"/>
    <w:rsid w:val="00CC2F2B"/>
    <w:rsid w:val="00CC58B1"/>
    <w:rsid w:val="00CE160C"/>
    <w:rsid w:val="00CE71D6"/>
    <w:rsid w:val="00CF39CD"/>
    <w:rsid w:val="00D05C31"/>
    <w:rsid w:val="00D144B3"/>
    <w:rsid w:val="00D202D9"/>
    <w:rsid w:val="00D24E83"/>
    <w:rsid w:val="00D321B3"/>
    <w:rsid w:val="00D53A24"/>
    <w:rsid w:val="00D56357"/>
    <w:rsid w:val="00D60635"/>
    <w:rsid w:val="00D94ACA"/>
    <w:rsid w:val="00D95168"/>
    <w:rsid w:val="00DA2F45"/>
    <w:rsid w:val="00DB5A88"/>
    <w:rsid w:val="00DC370D"/>
    <w:rsid w:val="00DE53A4"/>
    <w:rsid w:val="00DF3754"/>
    <w:rsid w:val="00E0039A"/>
    <w:rsid w:val="00E15076"/>
    <w:rsid w:val="00E27C43"/>
    <w:rsid w:val="00E52EAA"/>
    <w:rsid w:val="00E717E7"/>
    <w:rsid w:val="00E74C28"/>
    <w:rsid w:val="00E82A4B"/>
    <w:rsid w:val="00E84E36"/>
    <w:rsid w:val="00E861EB"/>
    <w:rsid w:val="00E935A3"/>
    <w:rsid w:val="00E965E9"/>
    <w:rsid w:val="00EB08BF"/>
    <w:rsid w:val="00EB3968"/>
    <w:rsid w:val="00EB6EDB"/>
    <w:rsid w:val="00EB7605"/>
    <w:rsid w:val="00EC4252"/>
    <w:rsid w:val="00F203F8"/>
    <w:rsid w:val="00F31284"/>
    <w:rsid w:val="00F31AD6"/>
    <w:rsid w:val="00F33224"/>
    <w:rsid w:val="00F33649"/>
    <w:rsid w:val="00F56479"/>
    <w:rsid w:val="00F71ECF"/>
    <w:rsid w:val="00FA7732"/>
    <w:rsid w:val="00FB0CC8"/>
    <w:rsid w:val="00FC27CC"/>
    <w:rsid w:val="00FD3DEE"/>
    <w:rsid w:val="00FE2E1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B7B"/>
  <w15:docId w15:val="{CECBE0C7-BB4A-449F-BA1D-60180F9E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3D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E9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717E7"/>
    <w:pPr>
      <w:spacing w:after="0" w:line="240" w:lineRule="auto"/>
    </w:pPr>
  </w:style>
  <w:style w:type="character" w:customStyle="1" w:styleId="object">
    <w:name w:val="object"/>
    <w:basedOn w:val="Fontepargpadro"/>
    <w:rsid w:val="00A77E5E"/>
  </w:style>
  <w:style w:type="character" w:styleId="Hyperlink">
    <w:name w:val="Hyperlink"/>
    <w:basedOn w:val="Fontepargpadro"/>
    <w:uiPriority w:val="99"/>
    <w:unhideWhenUsed/>
    <w:rsid w:val="00A77E5E"/>
    <w:rPr>
      <w:color w:val="0000FF"/>
      <w:u w:val="single"/>
    </w:rPr>
  </w:style>
  <w:style w:type="character" w:customStyle="1" w:styleId="object-hover">
    <w:name w:val="object-hover"/>
    <w:basedOn w:val="Fontepargpadro"/>
    <w:rsid w:val="00A0509A"/>
  </w:style>
  <w:style w:type="paragraph" w:styleId="Corpodetexto">
    <w:name w:val="Body Text"/>
    <w:basedOn w:val="Normal"/>
    <w:link w:val="CorpodetextoChar"/>
    <w:rsid w:val="002654F7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54F7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21499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5C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icb.usp.br/con/editais-farmacologi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2.icb.usp.br/con/formulari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digital.usp.br/gr/admiss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adcon@icb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70AF-BF60-46C7-8C88-868ECF69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1839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Falavigna Brandao</dc:creator>
  <cp:lastModifiedBy>Edna</cp:lastModifiedBy>
  <cp:revision>54</cp:revision>
  <cp:lastPrinted>2017-04-24T13:35:00Z</cp:lastPrinted>
  <dcterms:created xsi:type="dcterms:W3CDTF">2017-03-31T11:28:00Z</dcterms:created>
  <dcterms:modified xsi:type="dcterms:W3CDTF">2017-04-26T11:01:00Z</dcterms:modified>
</cp:coreProperties>
</file>